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B65C9">
      <w:pPr>
        <w:adjustRightInd w:val="0"/>
        <w:snapToGrid w:val="0"/>
        <w:spacing w:line="240" w:lineRule="auto"/>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附件2</w:t>
      </w:r>
    </w:p>
    <w:p w14:paraId="043F33E8">
      <w:pPr>
        <w:adjustRightInd w:val="0"/>
        <w:snapToGrid w:val="0"/>
        <w:spacing w:line="240" w:lineRule="auto"/>
        <w:jc w:val="center"/>
        <w:rPr>
          <w:rFonts w:eastAsia="黑体" w:cs="Times New Roman"/>
          <w:kern w:val="0"/>
          <w:sz w:val="36"/>
          <w:szCs w:val="24"/>
        </w:rPr>
      </w:pPr>
    </w:p>
    <w:p w14:paraId="5FF5DE7D">
      <w:pPr>
        <w:adjustRightInd w:val="0"/>
        <w:snapToGrid w:val="0"/>
        <w:spacing w:line="240" w:lineRule="auto"/>
        <w:jc w:val="center"/>
        <w:rPr>
          <w:rFonts w:eastAsia="黑体" w:cs="Times New Roman"/>
          <w:kern w:val="0"/>
          <w:sz w:val="36"/>
          <w:szCs w:val="24"/>
        </w:rPr>
      </w:pPr>
    </w:p>
    <w:p w14:paraId="0774FD4E">
      <w:pPr>
        <w:adjustRightInd w:val="0"/>
        <w:snapToGrid w:val="0"/>
        <w:spacing w:line="240" w:lineRule="auto"/>
        <w:jc w:val="center"/>
        <w:rPr>
          <w:rFonts w:eastAsia="黑体" w:cs="Times New Roman"/>
          <w:kern w:val="0"/>
          <w:sz w:val="36"/>
          <w:szCs w:val="24"/>
        </w:rPr>
      </w:pPr>
    </w:p>
    <w:p w14:paraId="7731E709">
      <w:pPr>
        <w:adjustRightInd w:val="0"/>
        <w:snapToGrid w:val="0"/>
        <w:spacing w:line="240" w:lineRule="auto"/>
        <w:jc w:val="center"/>
        <w:rPr>
          <w:rFonts w:eastAsia="黑体" w:cs="Times New Roman"/>
          <w:kern w:val="0"/>
          <w:sz w:val="36"/>
          <w:szCs w:val="24"/>
        </w:rPr>
      </w:pPr>
    </w:p>
    <w:p w14:paraId="60F7AB84">
      <w:pPr>
        <w:adjustRightInd w:val="0"/>
        <w:snapToGrid w:val="0"/>
        <w:spacing w:before="326" w:beforeLines="100" w:line="240" w:lineRule="auto"/>
        <w:jc w:val="center"/>
        <w:rPr>
          <w:rFonts w:hint="default" w:eastAsia="黑体" w:cs="Times New Roman"/>
          <w:kern w:val="0"/>
          <w:sz w:val="40"/>
          <w:szCs w:val="24"/>
          <w:lang w:val="en-US" w:eastAsia="zh-CN"/>
        </w:rPr>
      </w:pPr>
      <w:r>
        <w:rPr>
          <w:rFonts w:hint="eastAsia" w:eastAsia="黑体" w:cs="Times New Roman"/>
          <w:kern w:val="0"/>
          <w:sz w:val="40"/>
          <w:szCs w:val="24"/>
          <w:lang w:val="en-US" w:eastAsia="zh-CN"/>
        </w:rPr>
        <w:t xml:space="preserve">T/CHNAW </w:t>
      </w:r>
      <w:r>
        <w:rPr>
          <w:rFonts w:hint="eastAsia" w:eastAsia="黑体" w:cs="Times New Roman"/>
          <w:kern w:val="0"/>
          <w:sz w:val="40"/>
          <w:szCs w:val="24"/>
          <w:lang w:val="en-US" w:eastAsia="zh-CN"/>
        </w:rPr>
        <w:fldChar w:fldCharType="begin">
          <w:ffData>
            <w:name w:val="NSTD_CODE_F"/>
            <w:enabled/>
            <w:calcOnExit w:val="0"/>
            <w:textInput>
              <w:default w:val="XXXX"/>
            </w:textInput>
          </w:ffData>
        </w:fldChar>
      </w:r>
      <w:bookmarkStart w:id="0" w:name="NSTD_CODE_F"/>
      <w:r>
        <w:rPr>
          <w:rFonts w:hint="eastAsia" w:eastAsia="黑体" w:cs="Times New Roman"/>
          <w:kern w:val="0"/>
          <w:sz w:val="40"/>
          <w:szCs w:val="24"/>
          <w:lang w:val="en-US" w:eastAsia="zh-CN"/>
        </w:rPr>
        <w:instrText xml:space="preserve"> FORMTEXT </w:instrText>
      </w:r>
      <w:r>
        <w:rPr>
          <w:rFonts w:hint="eastAsia" w:eastAsia="黑体" w:cs="Times New Roman"/>
          <w:kern w:val="0"/>
          <w:sz w:val="40"/>
          <w:szCs w:val="24"/>
          <w:lang w:val="en-US" w:eastAsia="zh-CN"/>
        </w:rPr>
        <w:fldChar w:fldCharType="separate"/>
      </w:r>
      <w:r>
        <w:rPr>
          <w:rFonts w:hint="eastAsia" w:eastAsia="黑体" w:cs="Times New Roman"/>
          <w:kern w:val="0"/>
          <w:sz w:val="40"/>
          <w:szCs w:val="24"/>
          <w:lang w:val="en-US" w:eastAsia="zh-CN"/>
        </w:rPr>
        <w:t>XXXX</w:t>
      </w:r>
      <w:r>
        <w:rPr>
          <w:rFonts w:hint="eastAsia" w:eastAsia="黑体" w:cs="Times New Roman"/>
          <w:kern w:val="0"/>
          <w:sz w:val="40"/>
          <w:szCs w:val="24"/>
          <w:lang w:val="en-US" w:eastAsia="zh-CN"/>
        </w:rPr>
        <w:fldChar w:fldCharType="end"/>
      </w:r>
      <w:bookmarkEnd w:id="0"/>
      <w:r>
        <w:rPr>
          <w:rFonts w:hint="eastAsia" w:eastAsia="黑体" w:cs="Times New Roman"/>
          <w:kern w:val="0"/>
          <w:sz w:val="40"/>
          <w:szCs w:val="24"/>
          <w:lang w:val="en-US" w:eastAsia="zh-CN"/>
        </w:rPr>
        <w:t>—2026</w:t>
      </w:r>
    </w:p>
    <w:p w14:paraId="6FC3F059">
      <w:pPr>
        <w:adjustRightInd w:val="0"/>
        <w:snapToGrid w:val="0"/>
        <w:spacing w:before="326" w:beforeLines="100" w:line="240" w:lineRule="auto"/>
        <w:jc w:val="center"/>
        <w:rPr>
          <w:rFonts w:eastAsia="黑体" w:cs="Times New Roman"/>
          <w:kern w:val="0"/>
          <w:sz w:val="40"/>
          <w:szCs w:val="24"/>
        </w:rPr>
      </w:pPr>
      <w:r>
        <w:rPr>
          <w:rFonts w:hint="eastAsia" w:eastAsia="黑体" w:cs="Times New Roman"/>
          <w:kern w:val="0"/>
          <w:sz w:val="40"/>
          <w:szCs w:val="24"/>
          <w:lang w:val="en-US" w:eastAsia="zh-CN"/>
        </w:rPr>
        <w:t>地铁场站</w:t>
      </w:r>
      <w:r>
        <w:rPr>
          <w:rFonts w:hint="eastAsia" w:eastAsia="黑体" w:cs="Times New Roman"/>
          <w:kern w:val="0"/>
          <w:sz w:val="40"/>
          <w:szCs w:val="24"/>
        </w:rPr>
        <w:t>空气病原体现场智能采样技术指南</w:t>
      </w:r>
      <w:bookmarkStart w:id="232" w:name="_GoBack"/>
      <w:bookmarkEnd w:id="232"/>
    </w:p>
    <w:p w14:paraId="39249630">
      <w:pPr>
        <w:adjustRightInd w:val="0"/>
        <w:snapToGrid w:val="0"/>
        <w:spacing w:line="240" w:lineRule="auto"/>
        <w:jc w:val="center"/>
        <w:rPr>
          <w:rFonts w:eastAsia="黑体" w:cs="Times New Roman"/>
          <w:kern w:val="0"/>
          <w:sz w:val="36"/>
          <w:szCs w:val="24"/>
        </w:rPr>
      </w:pPr>
    </w:p>
    <w:p w14:paraId="4473838B">
      <w:pPr>
        <w:adjustRightInd w:val="0"/>
        <w:snapToGrid w:val="0"/>
        <w:spacing w:line="240" w:lineRule="auto"/>
        <w:jc w:val="center"/>
        <w:rPr>
          <w:rFonts w:eastAsia="黑体" w:cs="Times New Roman"/>
          <w:kern w:val="0"/>
          <w:sz w:val="32"/>
          <w:szCs w:val="24"/>
        </w:rPr>
      </w:pPr>
      <w:r>
        <w:rPr>
          <w:rFonts w:hint="eastAsia" w:eastAsia="黑体" w:cs="Times New Roman"/>
          <w:kern w:val="0"/>
          <w:sz w:val="32"/>
          <w:szCs w:val="24"/>
        </w:rPr>
        <w:t>编制说明</w:t>
      </w:r>
    </w:p>
    <w:p w14:paraId="14ED84A3">
      <w:pPr>
        <w:spacing w:line="480" w:lineRule="auto"/>
        <w:jc w:val="center"/>
        <w:rPr>
          <w:rFonts w:eastAsia="黑体" w:cs="Times New Roman"/>
          <w:sz w:val="28"/>
          <w:szCs w:val="21"/>
          <w:lang w:val="zh-CN"/>
        </w:rPr>
      </w:pPr>
    </w:p>
    <w:p w14:paraId="29D9D7EE">
      <w:pPr>
        <w:spacing w:line="480" w:lineRule="auto"/>
        <w:jc w:val="center"/>
        <w:rPr>
          <w:rFonts w:eastAsia="黑体" w:cs="Times New Roman"/>
          <w:sz w:val="28"/>
          <w:szCs w:val="21"/>
          <w:lang w:val="zh-CN"/>
        </w:rPr>
      </w:pPr>
    </w:p>
    <w:p w14:paraId="5AE164D5">
      <w:pPr>
        <w:spacing w:line="480" w:lineRule="auto"/>
        <w:jc w:val="center"/>
        <w:rPr>
          <w:rFonts w:eastAsia="黑体" w:cs="Times New Roman"/>
          <w:sz w:val="28"/>
          <w:szCs w:val="21"/>
          <w:lang w:val="zh-CN"/>
        </w:rPr>
      </w:pPr>
    </w:p>
    <w:p w14:paraId="4E01B29D">
      <w:pPr>
        <w:spacing w:line="480" w:lineRule="auto"/>
        <w:jc w:val="center"/>
        <w:rPr>
          <w:rFonts w:eastAsia="黑体" w:cs="Times New Roman"/>
          <w:sz w:val="28"/>
          <w:szCs w:val="21"/>
          <w:lang w:val="zh-CN"/>
        </w:rPr>
      </w:pPr>
    </w:p>
    <w:p w14:paraId="78549E96">
      <w:pPr>
        <w:spacing w:line="480" w:lineRule="auto"/>
        <w:jc w:val="center"/>
        <w:rPr>
          <w:rFonts w:eastAsia="黑体" w:cs="Times New Roman"/>
          <w:sz w:val="28"/>
          <w:szCs w:val="21"/>
          <w:lang w:val="zh-CN"/>
        </w:rPr>
      </w:pPr>
    </w:p>
    <w:p w14:paraId="65FF208D">
      <w:pPr>
        <w:spacing w:line="480" w:lineRule="auto"/>
        <w:jc w:val="center"/>
        <w:rPr>
          <w:rFonts w:eastAsia="黑体" w:cs="Times New Roman"/>
          <w:sz w:val="28"/>
          <w:szCs w:val="21"/>
          <w:lang w:val="zh-CN"/>
        </w:rPr>
      </w:pPr>
    </w:p>
    <w:p w14:paraId="04CF5AEF">
      <w:pPr>
        <w:spacing w:line="480" w:lineRule="auto"/>
        <w:jc w:val="center"/>
        <w:rPr>
          <w:rFonts w:eastAsia="黑体" w:cs="Times New Roman"/>
          <w:sz w:val="28"/>
          <w:szCs w:val="21"/>
          <w:lang w:val="zh-CN"/>
        </w:rPr>
      </w:pPr>
    </w:p>
    <w:p w14:paraId="3BB2CF8D">
      <w:pPr>
        <w:spacing w:line="480" w:lineRule="auto"/>
        <w:jc w:val="center"/>
        <w:rPr>
          <w:rFonts w:eastAsia="黑体" w:cs="Times New Roman"/>
          <w:sz w:val="28"/>
          <w:szCs w:val="21"/>
          <w:lang w:val="zh-CN"/>
        </w:rPr>
      </w:pPr>
    </w:p>
    <w:p w14:paraId="4E501132">
      <w:pPr>
        <w:spacing w:line="480" w:lineRule="auto"/>
        <w:jc w:val="center"/>
        <w:rPr>
          <w:rFonts w:eastAsia="黑体" w:cs="Times New Roman"/>
          <w:sz w:val="28"/>
          <w:szCs w:val="21"/>
          <w:lang w:val="zh-CN"/>
        </w:rPr>
      </w:pPr>
    </w:p>
    <w:p w14:paraId="73000F3D">
      <w:pPr>
        <w:spacing w:line="480" w:lineRule="auto"/>
        <w:jc w:val="center"/>
        <w:rPr>
          <w:rFonts w:eastAsia="楷体" w:cs="Times New Roman"/>
          <w:sz w:val="28"/>
          <w:szCs w:val="21"/>
          <w:lang w:val="zh-CN"/>
        </w:rPr>
      </w:pPr>
    </w:p>
    <w:p w14:paraId="37DA276B">
      <w:pPr>
        <w:spacing w:line="480" w:lineRule="auto"/>
        <w:jc w:val="center"/>
        <w:rPr>
          <w:rFonts w:eastAsia="楷体" w:cs="Times New Roman"/>
          <w:sz w:val="28"/>
          <w:szCs w:val="21"/>
          <w:lang w:val="zh-CN"/>
        </w:rPr>
      </w:pPr>
    </w:p>
    <w:p w14:paraId="27F61127">
      <w:pPr>
        <w:adjustRightInd w:val="0"/>
        <w:snapToGrid w:val="0"/>
        <w:spacing w:line="240" w:lineRule="auto"/>
        <w:ind w:left="1423" w:right="1419"/>
        <w:jc w:val="center"/>
        <w:rPr>
          <w:rFonts w:eastAsia="楷体" w:cs="Times New Roman"/>
          <w:sz w:val="28"/>
          <w:szCs w:val="21"/>
          <w:lang w:val="zh-CN"/>
        </w:rPr>
      </w:pPr>
      <w:r>
        <w:rPr>
          <w:rFonts w:hint="eastAsia" w:eastAsia="楷体" w:cs="Times New Roman"/>
          <w:b/>
          <w:bCs/>
          <w:sz w:val="28"/>
          <w:szCs w:val="28"/>
        </w:rPr>
        <w:t>标准编制组</w:t>
      </w:r>
    </w:p>
    <w:p w14:paraId="3EEF3533">
      <w:pPr>
        <w:jc w:val="center"/>
        <w:rPr>
          <w:rFonts w:eastAsia="楷体" w:cs="Times New Roman"/>
          <w:sz w:val="28"/>
          <w:szCs w:val="21"/>
          <w:lang w:val="zh-CN"/>
        </w:rPr>
      </w:pPr>
      <w:r>
        <w:rPr>
          <w:rFonts w:hint="eastAsia" w:eastAsia="楷体" w:cs="Times New Roman"/>
          <w:sz w:val="28"/>
          <w:szCs w:val="21"/>
          <w:lang w:val="zh-CN"/>
        </w:rPr>
        <w:t>二〇二</w:t>
      </w:r>
      <w:r>
        <w:rPr>
          <w:rFonts w:hint="eastAsia" w:eastAsia="楷体" w:cs="Times New Roman"/>
          <w:sz w:val="28"/>
          <w:szCs w:val="21"/>
        </w:rPr>
        <w:t>六</w:t>
      </w:r>
      <w:r>
        <w:rPr>
          <w:rFonts w:hint="eastAsia" w:eastAsia="楷体" w:cs="Times New Roman"/>
          <w:sz w:val="28"/>
          <w:szCs w:val="21"/>
          <w:lang w:val="zh-CN"/>
        </w:rPr>
        <w:t>年</w:t>
      </w:r>
      <w:r>
        <w:rPr>
          <w:rFonts w:hint="eastAsia" w:eastAsia="楷体" w:cs="Times New Roman"/>
          <w:sz w:val="28"/>
          <w:szCs w:val="21"/>
          <w:lang w:val="en-US" w:eastAsia="zh-CN"/>
        </w:rPr>
        <w:t>三</w:t>
      </w:r>
      <w:r>
        <w:rPr>
          <w:rFonts w:hint="eastAsia" w:eastAsia="楷体" w:cs="Times New Roman"/>
          <w:sz w:val="28"/>
          <w:szCs w:val="21"/>
          <w:lang w:val="zh-CN"/>
        </w:rPr>
        <w:t>月</w:t>
      </w:r>
    </w:p>
    <w:p w14:paraId="5DF91A42">
      <w:pPr>
        <w:jc w:val="center"/>
        <w:rPr>
          <w:rFonts w:eastAsia="楷体" w:cs="Times New Roman"/>
          <w:sz w:val="28"/>
          <w:szCs w:val="21"/>
          <w:lang w:val="zh-CN"/>
        </w:rPr>
        <w:sectPr>
          <w:headerReference r:id="rId5" w:type="default"/>
          <w:footerReference r:id="rId6" w:type="default"/>
          <w:type w:val="continuous"/>
          <w:pgSz w:w="11906" w:h="16838"/>
          <w:pgMar w:top="1440" w:right="1800" w:bottom="1440" w:left="1800" w:header="851" w:footer="992" w:gutter="0"/>
          <w:cols w:space="425" w:num="1"/>
          <w:docGrid w:type="lines" w:linePitch="326" w:charSpace="0"/>
        </w:sectPr>
      </w:pPr>
    </w:p>
    <w:p w14:paraId="0E73FC84">
      <w:pPr>
        <w:jc w:val="center"/>
        <w:rPr>
          <w:rFonts w:eastAsia="楷体" w:cs="Times New Roman"/>
          <w:sz w:val="28"/>
          <w:szCs w:val="21"/>
          <w:lang w:val="zh-CN"/>
        </w:rPr>
      </w:pPr>
    </w:p>
    <w:sdt>
      <w:sdtPr>
        <w:rPr>
          <w:rFonts w:ascii="宋体" w:hAnsi="宋体" w:eastAsia="宋体"/>
          <w:sz w:val="21"/>
        </w:rPr>
        <w:id w:val="147483200"/>
        <w15:color w:val="DBDBDB"/>
        <w:docPartObj>
          <w:docPartGallery w:val="Table of Contents"/>
          <w:docPartUnique/>
        </w:docPartObj>
      </w:sdtPr>
      <w:sdtEndPr>
        <w:rPr>
          <w:rFonts w:ascii="Times New Roman" w:hAnsi="Times New Roman" w:eastAsia="宋体" w:cs="Times New Roman"/>
          <w:sz w:val="24"/>
          <w:szCs w:val="20"/>
          <w:lang w:val="zh-CN"/>
        </w:rPr>
      </w:sdtEndPr>
      <w:sdtContent>
        <w:p w14:paraId="195EB6F9">
          <w:pPr>
            <w:spacing w:line="240" w:lineRule="auto"/>
            <w:jc w:val="center"/>
            <w:rPr>
              <w:rFonts w:ascii="宋体" w:hAnsi="宋体" w:eastAsia="宋体"/>
              <w:b/>
              <w:bCs/>
              <w:szCs w:val="24"/>
            </w:rPr>
          </w:pPr>
          <w:r>
            <w:rPr>
              <w:rFonts w:ascii="宋体" w:hAnsi="宋体" w:eastAsia="宋体"/>
              <w:b/>
              <w:bCs/>
              <w:szCs w:val="24"/>
            </w:rPr>
            <w:t>目 录</w:t>
          </w:r>
        </w:p>
        <w:p w14:paraId="4766E7E9">
          <w:pPr>
            <w:spacing w:line="240" w:lineRule="auto"/>
            <w:jc w:val="center"/>
            <w:rPr>
              <w:rFonts w:ascii="宋体" w:hAnsi="宋体" w:eastAsia="宋体"/>
              <w:b/>
              <w:bCs/>
              <w:szCs w:val="24"/>
            </w:rPr>
          </w:pPr>
        </w:p>
        <w:p w14:paraId="2074004C">
          <w:pPr>
            <w:pStyle w:val="18"/>
            <w:tabs>
              <w:tab w:val="right" w:leader="dot" w:pos="8306"/>
            </w:tabs>
          </w:pPr>
          <w:r>
            <w:rPr>
              <w:rFonts w:eastAsia="宋体" w:cs="Times New Roman"/>
              <w:szCs w:val="21"/>
              <w:lang w:val="zh-CN"/>
            </w:rPr>
            <w:fldChar w:fldCharType="begin"/>
          </w:r>
          <w:r>
            <w:rPr>
              <w:rFonts w:eastAsia="宋体" w:cs="Times New Roman"/>
              <w:szCs w:val="21"/>
              <w:lang w:val="zh-CN"/>
            </w:rPr>
            <w:instrText xml:space="preserve">TOC \o "1-3" \h \u </w:instrText>
          </w:r>
          <w:r>
            <w:rPr>
              <w:rFonts w:eastAsia="宋体" w:cs="Times New Roman"/>
              <w:szCs w:val="21"/>
              <w:lang w:val="zh-CN"/>
            </w:rPr>
            <w:fldChar w:fldCharType="separate"/>
          </w:r>
          <w:r>
            <w:rPr>
              <w:rFonts w:eastAsia="宋体" w:cs="Times New Roman"/>
              <w:szCs w:val="21"/>
              <w:lang w:val="zh-CN"/>
            </w:rPr>
            <w:fldChar w:fldCharType="begin"/>
          </w:r>
          <w:r>
            <w:rPr>
              <w:rFonts w:eastAsia="宋体" w:cs="Times New Roman"/>
              <w:szCs w:val="21"/>
              <w:lang w:val="zh-CN"/>
            </w:rPr>
            <w:instrText xml:space="preserve"> HYPERLINK \l _Toc1611 </w:instrText>
          </w:r>
          <w:r>
            <w:rPr>
              <w:rFonts w:eastAsia="宋体" w:cs="Times New Roman"/>
              <w:szCs w:val="21"/>
              <w:lang w:val="zh-CN"/>
            </w:rPr>
            <w:fldChar w:fldCharType="separate"/>
          </w:r>
          <w:r>
            <w:rPr>
              <w:rFonts w:hint="eastAsia"/>
            </w:rPr>
            <w:t>一、工作简况</w:t>
          </w:r>
          <w:r>
            <w:tab/>
          </w:r>
          <w:r>
            <w:fldChar w:fldCharType="begin"/>
          </w:r>
          <w:r>
            <w:instrText xml:space="preserve"> PAGEREF _Toc1611 \h </w:instrText>
          </w:r>
          <w:r>
            <w:fldChar w:fldCharType="separate"/>
          </w:r>
          <w:r>
            <w:t>1</w:t>
          </w:r>
          <w:r>
            <w:fldChar w:fldCharType="end"/>
          </w:r>
          <w:r>
            <w:rPr>
              <w:rFonts w:eastAsia="宋体" w:cs="Times New Roman"/>
              <w:szCs w:val="21"/>
              <w:lang w:val="zh-CN"/>
            </w:rPr>
            <w:fldChar w:fldCharType="end"/>
          </w:r>
        </w:p>
        <w:p w14:paraId="190B618B">
          <w:pPr>
            <w:pStyle w:val="22"/>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_Toc24508 </w:instrText>
          </w:r>
          <w:r>
            <w:rPr>
              <w:rFonts w:eastAsia="宋体" w:cs="Times New Roman"/>
              <w:szCs w:val="21"/>
              <w:lang w:val="zh-CN"/>
            </w:rPr>
            <w:fldChar w:fldCharType="separate"/>
          </w:r>
          <w:r>
            <w:rPr>
              <w:rFonts w:hint="eastAsia"/>
            </w:rPr>
            <w:t>（一）任务来源</w:t>
          </w:r>
          <w:r>
            <w:rPr>
              <w:rFonts w:hint="eastAsia"/>
              <w:lang w:val="en-US" w:eastAsia="zh-CN"/>
            </w:rPr>
            <w:t>与项目编号</w:t>
          </w:r>
          <w:r>
            <w:tab/>
          </w:r>
          <w:r>
            <w:fldChar w:fldCharType="begin"/>
          </w:r>
          <w:r>
            <w:instrText xml:space="preserve"> PAGEREF _Toc24508 \h </w:instrText>
          </w:r>
          <w:r>
            <w:fldChar w:fldCharType="separate"/>
          </w:r>
          <w:r>
            <w:t>1</w:t>
          </w:r>
          <w:r>
            <w:fldChar w:fldCharType="end"/>
          </w:r>
          <w:r>
            <w:rPr>
              <w:rFonts w:eastAsia="宋体" w:cs="Times New Roman"/>
              <w:szCs w:val="21"/>
              <w:lang w:val="zh-CN"/>
            </w:rPr>
            <w:fldChar w:fldCharType="end"/>
          </w:r>
        </w:p>
        <w:p w14:paraId="0220118A">
          <w:pPr>
            <w:pStyle w:val="22"/>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_Toc13447 </w:instrText>
          </w:r>
          <w:r>
            <w:rPr>
              <w:rFonts w:eastAsia="宋体" w:cs="Times New Roman"/>
              <w:szCs w:val="21"/>
              <w:lang w:val="zh-CN"/>
            </w:rPr>
            <w:fldChar w:fldCharType="separate"/>
          </w:r>
          <w:r>
            <w:rPr>
              <w:rFonts w:hint="eastAsia"/>
            </w:rPr>
            <w:t>（二）</w:t>
          </w:r>
          <w:r>
            <w:rPr>
              <w:rFonts w:hint="eastAsia"/>
              <w:lang w:val="en-US" w:eastAsia="zh-CN"/>
            </w:rPr>
            <w:t>参与协作单位、</w:t>
          </w:r>
          <w:r>
            <w:rPr>
              <w:rFonts w:hint="eastAsia"/>
            </w:rPr>
            <w:t>起草人及其所</w:t>
          </w:r>
          <w:r>
            <w:rPr>
              <w:rFonts w:hint="eastAsia"/>
              <w:lang w:val="en-US" w:eastAsia="zh-CN"/>
            </w:rPr>
            <w:t>承担工作</w:t>
          </w:r>
          <w:r>
            <w:tab/>
          </w:r>
          <w:r>
            <w:fldChar w:fldCharType="begin"/>
          </w:r>
          <w:r>
            <w:instrText xml:space="preserve"> PAGEREF _Toc13447 \h </w:instrText>
          </w:r>
          <w:r>
            <w:fldChar w:fldCharType="separate"/>
          </w:r>
          <w:r>
            <w:t>1</w:t>
          </w:r>
          <w:r>
            <w:fldChar w:fldCharType="end"/>
          </w:r>
          <w:r>
            <w:rPr>
              <w:rFonts w:eastAsia="宋体" w:cs="Times New Roman"/>
              <w:szCs w:val="21"/>
              <w:lang w:val="zh-CN"/>
            </w:rPr>
            <w:fldChar w:fldCharType="end"/>
          </w:r>
        </w:p>
        <w:p w14:paraId="5B654D66">
          <w:pPr>
            <w:pStyle w:val="22"/>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_Toc2751 </w:instrText>
          </w:r>
          <w:r>
            <w:rPr>
              <w:rFonts w:eastAsia="宋体" w:cs="Times New Roman"/>
              <w:szCs w:val="21"/>
              <w:lang w:val="zh-CN"/>
            </w:rPr>
            <w:fldChar w:fldCharType="separate"/>
          </w:r>
          <w:r>
            <w:rPr>
              <w:rFonts w:hint="eastAsia"/>
            </w:rPr>
            <w:t>（三）起草过程</w:t>
          </w:r>
          <w:r>
            <w:tab/>
          </w:r>
          <w:r>
            <w:fldChar w:fldCharType="begin"/>
          </w:r>
          <w:r>
            <w:instrText xml:space="preserve"> PAGEREF _Toc2751 \h </w:instrText>
          </w:r>
          <w:r>
            <w:fldChar w:fldCharType="separate"/>
          </w:r>
          <w:r>
            <w:t>1</w:t>
          </w:r>
          <w:r>
            <w:fldChar w:fldCharType="end"/>
          </w:r>
          <w:r>
            <w:rPr>
              <w:rFonts w:eastAsia="宋体" w:cs="Times New Roman"/>
              <w:szCs w:val="21"/>
              <w:lang w:val="zh-CN"/>
            </w:rPr>
            <w:fldChar w:fldCharType="end"/>
          </w:r>
        </w:p>
        <w:p w14:paraId="55C8DC54">
          <w:pPr>
            <w:pStyle w:val="18"/>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_Toc25214 </w:instrText>
          </w:r>
          <w:r>
            <w:rPr>
              <w:rFonts w:eastAsia="宋体" w:cs="Times New Roman"/>
              <w:szCs w:val="21"/>
              <w:lang w:val="zh-CN"/>
            </w:rPr>
            <w:fldChar w:fldCharType="separate"/>
          </w:r>
          <w:r>
            <w:rPr>
              <w:rFonts w:hint="eastAsia"/>
            </w:rPr>
            <w:t>二、与我国有关法律、法规、规章、规范性文件和其他标准的关系</w:t>
          </w:r>
          <w:r>
            <w:tab/>
          </w:r>
          <w:r>
            <w:fldChar w:fldCharType="begin"/>
          </w:r>
          <w:r>
            <w:instrText xml:space="preserve"> PAGEREF _Toc25214 \h </w:instrText>
          </w:r>
          <w:r>
            <w:fldChar w:fldCharType="separate"/>
          </w:r>
          <w:r>
            <w:t>2</w:t>
          </w:r>
          <w:r>
            <w:fldChar w:fldCharType="end"/>
          </w:r>
          <w:r>
            <w:rPr>
              <w:rFonts w:eastAsia="宋体" w:cs="Times New Roman"/>
              <w:szCs w:val="21"/>
              <w:lang w:val="zh-CN"/>
            </w:rPr>
            <w:fldChar w:fldCharType="end"/>
          </w:r>
        </w:p>
        <w:p w14:paraId="126813DA">
          <w:pPr>
            <w:pStyle w:val="18"/>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_Toc890 </w:instrText>
          </w:r>
          <w:r>
            <w:rPr>
              <w:rFonts w:eastAsia="宋体" w:cs="Times New Roman"/>
              <w:szCs w:val="21"/>
              <w:lang w:val="zh-CN"/>
            </w:rPr>
            <w:fldChar w:fldCharType="separate"/>
          </w:r>
          <w:r>
            <w:rPr>
              <w:rFonts w:hint="eastAsia"/>
              <w:lang w:val="en-US" w:eastAsia="zh-CN"/>
            </w:rPr>
            <w:t>三</w:t>
          </w:r>
          <w:r>
            <w:rPr>
              <w:rFonts w:hint="eastAsia"/>
            </w:rPr>
            <w:t>、国外相关法律、法规、文件和标准情况的对比说明；</w:t>
          </w:r>
          <w:r>
            <w:tab/>
          </w:r>
          <w:r>
            <w:fldChar w:fldCharType="begin"/>
          </w:r>
          <w:r>
            <w:instrText xml:space="preserve"> PAGEREF _Toc890 \h </w:instrText>
          </w:r>
          <w:r>
            <w:fldChar w:fldCharType="separate"/>
          </w:r>
          <w:r>
            <w:t>3</w:t>
          </w:r>
          <w:r>
            <w:fldChar w:fldCharType="end"/>
          </w:r>
          <w:r>
            <w:rPr>
              <w:rFonts w:eastAsia="宋体" w:cs="Times New Roman"/>
              <w:szCs w:val="21"/>
              <w:lang w:val="zh-CN"/>
            </w:rPr>
            <w:fldChar w:fldCharType="end"/>
          </w:r>
        </w:p>
        <w:p w14:paraId="5FC2F286">
          <w:pPr>
            <w:pStyle w:val="18"/>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_Toc16775 </w:instrText>
          </w:r>
          <w:r>
            <w:rPr>
              <w:rFonts w:eastAsia="宋体" w:cs="Times New Roman"/>
              <w:szCs w:val="21"/>
              <w:lang w:val="zh-CN"/>
            </w:rPr>
            <w:fldChar w:fldCharType="separate"/>
          </w:r>
          <w:r>
            <w:rPr>
              <w:rFonts w:hint="eastAsia"/>
              <w:lang w:val="en-US" w:eastAsia="zh-CN"/>
            </w:rPr>
            <w:t>四、标准的制定、修订与起草原则</w:t>
          </w:r>
          <w:r>
            <w:tab/>
          </w:r>
          <w:r>
            <w:fldChar w:fldCharType="begin"/>
          </w:r>
          <w:r>
            <w:instrText xml:space="preserve"> PAGEREF _Toc16775 \h </w:instrText>
          </w:r>
          <w:r>
            <w:fldChar w:fldCharType="separate"/>
          </w:r>
          <w:r>
            <w:t>3</w:t>
          </w:r>
          <w:r>
            <w:fldChar w:fldCharType="end"/>
          </w:r>
          <w:r>
            <w:rPr>
              <w:rFonts w:eastAsia="宋体" w:cs="Times New Roman"/>
              <w:szCs w:val="21"/>
              <w:lang w:val="zh-CN"/>
            </w:rPr>
            <w:fldChar w:fldCharType="end"/>
          </w:r>
        </w:p>
        <w:p w14:paraId="3D22FC5C">
          <w:pPr>
            <w:pStyle w:val="18"/>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_Toc5970 </w:instrText>
          </w:r>
          <w:r>
            <w:rPr>
              <w:rFonts w:eastAsia="宋体" w:cs="Times New Roman"/>
              <w:szCs w:val="21"/>
              <w:lang w:val="zh-CN"/>
            </w:rPr>
            <w:fldChar w:fldCharType="separate"/>
          </w:r>
          <w:r>
            <w:rPr>
              <w:rFonts w:hint="eastAsia"/>
              <w:lang w:val="en-US" w:eastAsia="zh-CN"/>
            </w:rPr>
            <w:t>五、确定各项技术内容（如技术指标、参数、公式、试验方法、检验规则等）的依据</w:t>
          </w:r>
          <w:r>
            <w:tab/>
          </w:r>
          <w:r>
            <w:fldChar w:fldCharType="begin"/>
          </w:r>
          <w:r>
            <w:instrText xml:space="preserve"> PAGEREF _Toc5970 \h </w:instrText>
          </w:r>
          <w:r>
            <w:fldChar w:fldCharType="separate"/>
          </w:r>
          <w:r>
            <w:t>3</w:t>
          </w:r>
          <w:r>
            <w:fldChar w:fldCharType="end"/>
          </w:r>
          <w:r>
            <w:rPr>
              <w:rFonts w:eastAsia="宋体" w:cs="Times New Roman"/>
              <w:szCs w:val="21"/>
              <w:lang w:val="zh-CN"/>
            </w:rPr>
            <w:fldChar w:fldCharType="end"/>
          </w:r>
        </w:p>
        <w:p w14:paraId="5166C8B8">
          <w:pPr>
            <w:pStyle w:val="22"/>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_Toc19792 </w:instrText>
          </w:r>
          <w:r>
            <w:rPr>
              <w:rFonts w:eastAsia="宋体" w:cs="Times New Roman"/>
              <w:szCs w:val="21"/>
              <w:lang w:val="zh-CN"/>
            </w:rPr>
            <w:fldChar w:fldCharType="separate"/>
          </w:r>
          <w:r>
            <w:rPr>
              <w:rFonts w:hint="eastAsia"/>
            </w:rPr>
            <w:t>（</w:t>
          </w:r>
          <w:r>
            <w:rPr>
              <w:rFonts w:hint="eastAsia"/>
              <w:lang w:val="en-US" w:eastAsia="zh-CN"/>
            </w:rPr>
            <w:t>一</w:t>
          </w:r>
          <w:r>
            <w:rPr>
              <w:rFonts w:hint="eastAsia"/>
            </w:rPr>
            <w:t>）技术要求的</w:t>
          </w:r>
          <w:r>
            <w:rPr>
              <w:rFonts w:hint="eastAsia"/>
              <w:lang w:val="en-US" w:eastAsia="zh-CN"/>
            </w:rPr>
            <w:t>编制</w:t>
          </w:r>
          <w:r>
            <w:rPr>
              <w:rFonts w:hint="eastAsia"/>
            </w:rPr>
            <w:t>依据</w:t>
          </w:r>
          <w:r>
            <w:tab/>
          </w:r>
          <w:r>
            <w:fldChar w:fldCharType="begin"/>
          </w:r>
          <w:r>
            <w:instrText xml:space="preserve"> PAGEREF _Toc19792 \h </w:instrText>
          </w:r>
          <w:r>
            <w:fldChar w:fldCharType="separate"/>
          </w:r>
          <w:r>
            <w:t>3</w:t>
          </w:r>
          <w:r>
            <w:fldChar w:fldCharType="end"/>
          </w:r>
          <w:r>
            <w:rPr>
              <w:rFonts w:eastAsia="宋体" w:cs="Times New Roman"/>
              <w:szCs w:val="21"/>
              <w:lang w:val="zh-CN"/>
            </w:rPr>
            <w:fldChar w:fldCharType="end"/>
          </w:r>
        </w:p>
        <w:p w14:paraId="23FC2FAA">
          <w:pPr>
            <w:pStyle w:val="14"/>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_Toc4006 </w:instrText>
          </w:r>
          <w:r>
            <w:rPr>
              <w:rFonts w:eastAsia="宋体" w:cs="Times New Roman"/>
              <w:szCs w:val="21"/>
              <w:lang w:val="zh-CN"/>
            </w:rPr>
            <w:fldChar w:fldCharType="separate"/>
          </w:r>
          <w:r>
            <w:rPr>
              <w:rFonts w:hint="eastAsia"/>
              <w:lang w:val="en-US" w:eastAsia="zh-CN"/>
            </w:rPr>
            <w:t>1.范围</w:t>
          </w:r>
          <w:r>
            <w:tab/>
          </w:r>
          <w:r>
            <w:fldChar w:fldCharType="begin"/>
          </w:r>
          <w:r>
            <w:instrText xml:space="preserve"> PAGEREF _Toc4006 \h </w:instrText>
          </w:r>
          <w:r>
            <w:fldChar w:fldCharType="separate"/>
          </w:r>
          <w:r>
            <w:t>3</w:t>
          </w:r>
          <w:r>
            <w:fldChar w:fldCharType="end"/>
          </w:r>
          <w:r>
            <w:rPr>
              <w:rFonts w:eastAsia="宋体" w:cs="Times New Roman"/>
              <w:szCs w:val="21"/>
              <w:lang w:val="zh-CN"/>
            </w:rPr>
            <w:fldChar w:fldCharType="end"/>
          </w:r>
        </w:p>
        <w:p w14:paraId="746D6EED">
          <w:pPr>
            <w:pStyle w:val="14"/>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_Toc15459 </w:instrText>
          </w:r>
          <w:r>
            <w:rPr>
              <w:rFonts w:eastAsia="宋体" w:cs="Times New Roman"/>
              <w:szCs w:val="21"/>
              <w:lang w:val="zh-CN"/>
            </w:rPr>
            <w:fldChar w:fldCharType="separate"/>
          </w:r>
          <w:r>
            <w:rPr>
              <w:rFonts w:hint="eastAsia"/>
              <w:lang w:val="en-US" w:eastAsia="zh-CN"/>
            </w:rPr>
            <w:t>2.规范性引用文件</w:t>
          </w:r>
          <w:r>
            <w:tab/>
          </w:r>
          <w:r>
            <w:fldChar w:fldCharType="begin"/>
          </w:r>
          <w:r>
            <w:instrText xml:space="preserve"> PAGEREF _Toc15459 \h </w:instrText>
          </w:r>
          <w:r>
            <w:fldChar w:fldCharType="separate"/>
          </w:r>
          <w:r>
            <w:t>4</w:t>
          </w:r>
          <w:r>
            <w:fldChar w:fldCharType="end"/>
          </w:r>
          <w:r>
            <w:rPr>
              <w:rFonts w:eastAsia="宋体" w:cs="Times New Roman"/>
              <w:szCs w:val="21"/>
              <w:lang w:val="zh-CN"/>
            </w:rPr>
            <w:fldChar w:fldCharType="end"/>
          </w:r>
        </w:p>
        <w:p w14:paraId="221B623A">
          <w:pPr>
            <w:pStyle w:val="14"/>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_Toc14561 </w:instrText>
          </w:r>
          <w:r>
            <w:rPr>
              <w:rFonts w:eastAsia="宋体" w:cs="Times New Roman"/>
              <w:szCs w:val="21"/>
              <w:lang w:val="zh-CN"/>
            </w:rPr>
            <w:fldChar w:fldCharType="separate"/>
          </w:r>
          <w:r>
            <w:rPr>
              <w:rFonts w:hint="eastAsia"/>
              <w:lang w:val="en-US" w:eastAsia="zh-CN"/>
            </w:rPr>
            <w:t>3.术语定义</w:t>
          </w:r>
          <w:r>
            <w:tab/>
          </w:r>
          <w:r>
            <w:fldChar w:fldCharType="begin"/>
          </w:r>
          <w:r>
            <w:instrText xml:space="preserve"> PAGEREF _Toc14561 \h </w:instrText>
          </w:r>
          <w:r>
            <w:fldChar w:fldCharType="separate"/>
          </w:r>
          <w:r>
            <w:t>4</w:t>
          </w:r>
          <w:r>
            <w:fldChar w:fldCharType="end"/>
          </w:r>
          <w:r>
            <w:rPr>
              <w:rFonts w:eastAsia="宋体" w:cs="Times New Roman"/>
              <w:szCs w:val="21"/>
              <w:lang w:val="zh-CN"/>
            </w:rPr>
            <w:fldChar w:fldCharType="end"/>
          </w:r>
        </w:p>
        <w:p w14:paraId="2E556682">
          <w:pPr>
            <w:pStyle w:val="14"/>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_Toc24956 </w:instrText>
          </w:r>
          <w:r>
            <w:rPr>
              <w:rFonts w:eastAsia="宋体" w:cs="Times New Roman"/>
              <w:szCs w:val="21"/>
              <w:lang w:val="zh-CN"/>
            </w:rPr>
            <w:fldChar w:fldCharType="separate"/>
          </w:r>
          <w:r>
            <w:rPr>
              <w:rFonts w:hint="eastAsia"/>
              <w:lang w:val="en-US" w:eastAsia="zh-CN"/>
            </w:rPr>
            <w:t>4.智能采样系统构成</w:t>
          </w:r>
          <w:r>
            <w:tab/>
          </w:r>
          <w:r>
            <w:fldChar w:fldCharType="begin"/>
          </w:r>
          <w:r>
            <w:instrText xml:space="preserve"> PAGEREF _Toc24956 \h </w:instrText>
          </w:r>
          <w:r>
            <w:fldChar w:fldCharType="separate"/>
          </w:r>
          <w:r>
            <w:t>5</w:t>
          </w:r>
          <w:r>
            <w:fldChar w:fldCharType="end"/>
          </w:r>
          <w:r>
            <w:rPr>
              <w:rFonts w:eastAsia="宋体" w:cs="Times New Roman"/>
              <w:szCs w:val="21"/>
              <w:lang w:val="zh-CN"/>
            </w:rPr>
            <w:fldChar w:fldCharType="end"/>
          </w:r>
        </w:p>
        <w:p w14:paraId="03EF4760">
          <w:pPr>
            <w:pStyle w:val="14"/>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_Toc23261 </w:instrText>
          </w:r>
          <w:r>
            <w:rPr>
              <w:rFonts w:eastAsia="宋体" w:cs="Times New Roman"/>
              <w:szCs w:val="21"/>
              <w:lang w:val="zh-CN"/>
            </w:rPr>
            <w:fldChar w:fldCharType="separate"/>
          </w:r>
          <w:r>
            <w:rPr>
              <w:rFonts w:hint="eastAsia"/>
              <w:lang w:val="en-US" w:eastAsia="zh-CN"/>
            </w:rPr>
            <w:t>5.采样前的准备</w:t>
          </w:r>
          <w:r>
            <w:tab/>
          </w:r>
          <w:r>
            <w:fldChar w:fldCharType="begin"/>
          </w:r>
          <w:r>
            <w:instrText xml:space="preserve"> PAGEREF _Toc23261 \h </w:instrText>
          </w:r>
          <w:r>
            <w:fldChar w:fldCharType="separate"/>
          </w:r>
          <w:r>
            <w:t>7</w:t>
          </w:r>
          <w:r>
            <w:fldChar w:fldCharType="end"/>
          </w:r>
          <w:r>
            <w:rPr>
              <w:rFonts w:eastAsia="宋体" w:cs="Times New Roman"/>
              <w:szCs w:val="21"/>
              <w:lang w:val="zh-CN"/>
            </w:rPr>
            <w:fldChar w:fldCharType="end"/>
          </w:r>
        </w:p>
        <w:p w14:paraId="2ED6BFCA">
          <w:pPr>
            <w:pStyle w:val="14"/>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_Toc27858 </w:instrText>
          </w:r>
          <w:r>
            <w:rPr>
              <w:rFonts w:eastAsia="宋体" w:cs="Times New Roman"/>
              <w:szCs w:val="21"/>
              <w:lang w:val="zh-CN"/>
            </w:rPr>
            <w:fldChar w:fldCharType="separate"/>
          </w:r>
          <w:r>
            <w:rPr>
              <w:rFonts w:hint="eastAsia"/>
              <w:lang w:val="en-US" w:eastAsia="zh-CN"/>
            </w:rPr>
            <w:t>6.采样点布设</w:t>
          </w:r>
          <w:r>
            <w:tab/>
          </w:r>
          <w:r>
            <w:fldChar w:fldCharType="begin"/>
          </w:r>
          <w:r>
            <w:instrText xml:space="preserve"> PAGEREF _Toc27858 \h </w:instrText>
          </w:r>
          <w:r>
            <w:fldChar w:fldCharType="separate"/>
          </w:r>
          <w:r>
            <w:t>7</w:t>
          </w:r>
          <w:r>
            <w:fldChar w:fldCharType="end"/>
          </w:r>
          <w:r>
            <w:rPr>
              <w:rFonts w:eastAsia="宋体" w:cs="Times New Roman"/>
              <w:szCs w:val="21"/>
              <w:lang w:val="zh-CN"/>
            </w:rPr>
            <w:fldChar w:fldCharType="end"/>
          </w:r>
        </w:p>
        <w:p w14:paraId="229D7308">
          <w:pPr>
            <w:pStyle w:val="14"/>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_Toc30102 </w:instrText>
          </w:r>
          <w:r>
            <w:rPr>
              <w:rFonts w:eastAsia="宋体" w:cs="Times New Roman"/>
              <w:szCs w:val="21"/>
              <w:lang w:val="zh-CN"/>
            </w:rPr>
            <w:fldChar w:fldCharType="separate"/>
          </w:r>
          <w:r>
            <w:rPr>
              <w:rFonts w:hint="eastAsia"/>
              <w:lang w:val="en-US" w:eastAsia="zh-CN"/>
            </w:rPr>
            <w:t>7.采样方法与步骤</w:t>
          </w:r>
          <w:r>
            <w:tab/>
          </w:r>
          <w:r>
            <w:fldChar w:fldCharType="begin"/>
          </w:r>
          <w:r>
            <w:instrText xml:space="preserve"> PAGEREF _Toc30102 \h </w:instrText>
          </w:r>
          <w:r>
            <w:fldChar w:fldCharType="separate"/>
          </w:r>
          <w:r>
            <w:t>8</w:t>
          </w:r>
          <w:r>
            <w:fldChar w:fldCharType="end"/>
          </w:r>
          <w:r>
            <w:rPr>
              <w:rFonts w:eastAsia="宋体" w:cs="Times New Roman"/>
              <w:szCs w:val="21"/>
              <w:lang w:val="zh-CN"/>
            </w:rPr>
            <w:fldChar w:fldCharType="end"/>
          </w:r>
        </w:p>
        <w:p w14:paraId="5888A42B">
          <w:pPr>
            <w:pStyle w:val="14"/>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_Toc13457 </w:instrText>
          </w:r>
          <w:r>
            <w:rPr>
              <w:rFonts w:eastAsia="宋体" w:cs="Times New Roman"/>
              <w:szCs w:val="21"/>
              <w:lang w:val="zh-CN"/>
            </w:rPr>
            <w:fldChar w:fldCharType="separate"/>
          </w:r>
          <w:r>
            <w:rPr>
              <w:rFonts w:hint="eastAsia"/>
              <w:lang w:val="en-US" w:eastAsia="zh-CN"/>
            </w:rPr>
            <w:t>8.样品运输与保存</w:t>
          </w:r>
          <w:r>
            <w:tab/>
          </w:r>
          <w:r>
            <w:fldChar w:fldCharType="begin"/>
          </w:r>
          <w:r>
            <w:instrText xml:space="preserve"> PAGEREF _Toc13457 \h </w:instrText>
          </w:r>
          <w:r>
            <w:fldChar w:fldCharType="separate"/>
          </w:r>
          <w:r>
            <w:t>10</w:t>
          </w:r>
          <w:r>
            <w:fldChar w:fldCharType="end"/>
          </w:r>
          <w:r>
            <w:rPr>
              <w:rFonts w:eastAsia="宋体" w:cs="Times New Roman"/>
              <w:szCs w:val="21"/>
              <w:lang w:val="zh-CN"/>
            </w:rPr>
            <w:fldChar w:fldCharType="end"/>
          </w:r>
        </w:p>
        <w:p w14:paraId="367799E3">
          <w:pPr>
            <w:pStyle w:val="14"/>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_Toc27712 </w:instrText>
          </w:r>
          <w:r>
            <w:rPr>
              <w:rFonts w:eastAsia="宋体" w:cs="Times New Roman"/>
              <w:szCs w:val="21"/>
              <w:lang w:val="zh-CN"/>
            </w:rPr>
            <w:fldChar w:fldCharType="separate"/>
          </w:r>
          <w:r>
            <w:rPr>
              <w:rFonts w:hint="eastAsia"/>
              <w:lang w:val="en-US" w:eastAsia="zh-CN"/>
            </w:rPr>
            <w:t>9.</w:t>
          </w:r>
          <w:r>
            <w:rPr>
              <w:rFonts w:hint="default"/>
              <w:lang w:val="en-US" w:eastAsia="zh-CN"/>
            </w:rPr>
            <w:t>质量控制</w:t>
          </w:r>
          <w:r>
            <w:tab/>
          </w:r>
          <w:r>
            <w:fldChar w:fldCharType="begin"/>
          </w:r>
          <w:r>
            <w:instrText xml:space="preserve"> PAGEREF _Toc27712 \h </w:instrText>
          </w:r>
          <w:r>
            <w:fldChar w:fldCharType="separate"/>
          </w:r>
          <w:r>
            <w:t>10</w:t>
          </w:r>
          <w:r>
            <w:fldChar w:fldCharType="end"/>
          </w:r>
          <w:r>
            <w:rPr>
              <w:rFonts w:eastAsia="宋体" w:cs="Times New Roman"/>
              <w:szCs w:val="21"/>
              <w:lang w:val="zh-CN"/>
            </w:rPr>
            <w:fldChar w:fldCharType="end"/>
          </w:r>
        </w:p>
        <w:p w14:paraId="1173907B">
          <w:pPr>
            <w:pStyle w:val="14"/>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_Toc9731 </w:instrText>
          </w:r>
          <w:r>
            <w:rPr>
              <w:rFonts w:eastAsia="宋体" w:cs="Times New Roman"/>
              <w:szCs w:val="21"/>
              <w:lang w:val="zh-CN"/>
            </w:rPr>
            <w:fldChar w:fldCharType="separate"/>
          </w:r>
          <w:r>
            <w:rPr>
              <w:rFonts w:hint="eastAsia"/>
              <w:lang w:val="en-US" w:eastAsia="zh-CN"/>
            </w:rPr>
            <w:t>10.</w:t>
          </w:r>
          <w:r>
            <w:rPr>
              <w:rFonts w:hint="default"/>
              <w:lang w:val="en-US" w:eastAsia="zh-CN"/>
            </w:rPr>
            <w:t>采样记录与报告</w:t>
          </w:r>
          <w:r>
            <w:tab/>
          </w:r>
          <w:r>
            <w:fldChar w:fldCharType="begin"/>
          </w:r>
          <w:r>
            <w:instrText xml:space="preserve"> PAGEREF _Toc9731 \h </w:instrText>
          </w:r>
          <w:r>
            <w:fldChar w:fldCharType="separate"/>
          </w:r>
          <w:r>
            <w:t>11</w:t>
          </w:r>
          <w:r>
            <w:fldChar w:fldCharType="end"/>
          </w:r>
          <w:r>
            <w:rPr>
              <w:rFonts w:eastAsia="宋体" w:cs="Times New Roman"/>
              <w:szCs w:val="21"/>
              <w:lang w:val="zh-CN"/>
            </w:rPr>
            <w:fldChar w:fldCharType="end"/>
          </w:r>
        </w:p>
        <w:p w14:paraId="4A313CE6">
          <w:pPr>
            <w:pStyle w:val="22"/>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_Toc23097 </w:instrText>
          </w:r>
          <w:r>
            <w:rPr>
              <w:rFonts w:eastAsia="宋体" w:cs="Times New Roman"/>
              <w:szCs w:val="21"/>
              <w:lang w:val="zh-CN"/>
            </w:rPr>
            <w:fldChar w:fldCharType="separate"/>
          </w:r>
          <w:r>
            <w:rPr>
              <w:rFonts w:hint="eastAsia"/>
            </w:rPr>
            <w:t>（</w:t>
          </w:r>
          <w:r>
            <w:rPr>
              <w:rFonts w:hint="eastAsia"/>
              <w:lang w:val="en-US" w:eastAsia="zh-CN"/>
            </w:rPr>
            <w:t>二</w:t>
          </w:r>
          <w:r>
            <w:rPr>
              <w:rFonts w:hint="eastAsia"/>
            </w:rPr>
            <w:t>）主要验证报告</w:t>
          </w:r>
          <w:r>
            <w:tab/>
          </w:r>
          <w:r>
            <w:fldChar w:fldCharType="begin"/>
          </w:r>
          <w:r>
            <w:instrText xml:space="preserve"> PAGEREF _Toc23097 \h </w:instrText>
          </w:r>
          <w:r>
            <w:fldChar w:fldCharType="separate"/>
          </w:r>
          <w:r>
            <w:t>11</w:t>
          </w:r>
          <w:r>
            <w:fldChar w:fldCharType="end"/>
          </w:r>
          <w:r>
            <w:rPr>
              <w:rFonts w:eastAsia="宋体" w:cs="Times New Roman"/>
              <w:szCs w:val="21"/>
              <w:lang w:val="zh-CN"/>
            </w:rPr>
            <w:fldChar w:fldCharType="end"/>
          </w:r>
        </w:p>
        <w:p w14:paraId="154F128D">
          <w:pPr>
            <w:pStyle w:val="18"/>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_Toc19783 </w:instrText>
          </w:r>
          <w:r>
            <w:rPr>
              <w:rFonts w:eastAsia="宋体" w:cs="Times New Roman"/>
              <w:szCs w:val="21"/>
              <w:lang w:val="zh-CN"/>
            </w:rPr>
            <w:fldChar w:fldCharType="separate"/>
          </w:r>
          <w:r>
            <w:rPr>
              <w:rFonts w:hint="eastAsia"/>
              <w:lang w:val="en-US" w:eastAsia="zh-CN"/>
            </w:rPr>
            <w:t>六</w:t>
          </w:r>
          <w:r>
            <w:rPr>
              <w:rFonts w:hint="eastAsia"/>
            </w:rPr>
            <w:t>、</w:t>
          </w:r>
          <w:r>
            <w:rPr>
              <w:rFonts w:hint="eastAsia"/>
              <w:lang w:val="en-US" w:eastAsia="zh-CN"/>
            </w:rPr>
            <w:t>征求意见和采纳情况、不采纳意见的理由</w:t>
          </w:r>
          <w:r>
            <w:tab/>
          </w:r>
          <w:r>
            <w:fldChar w:fldCharType="begin"/>
          </w:r>
          <w:r>
            <w:instrText xml:space="preserve"> PAGEREF _Toc19783 \h </w:instrText>
          </w:r>
          <w:r>
            <w:fldChar w:fldCharType="separate"/>
          </w:r>
          <w:r>
            <w:t>11</w:t>
          </w:r>
          <w:r>
            <w:fldChar w:fldCharType="end"/>
          </w:r>
          <w:r>
            <w:rPr>
              <w:rFonts w:eastAsia="宋体" w:cs="Times New Roman"/>
              <w:szCs w:val="21"/>
              <w:lang w:val="zh-CN"/>
            </w:rPr>
            <w:fldChar w:fldCharType="end"/>
          </w:r>
        </w:p>
        <w:p w14:paraId="0DDA7252">
          <w:pPr>
            <w:pStyle w:val="18"/>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_Toc26743 </w:instrText>
          </w:r>
          <w:r>
            <w:rPr>
              <w:rFonts w:eastAsia="宋体" w:cs="Times New Roman"/>
              <w:szCs w:val="21"/>
              <w:lang w:val="zh-CN"/>
            </w:rPr>
            <w:fldChar w:fldCharType="separate"/>
          </w:r>
          <w:r>
            <w:rPr>
              <w:rFonts w:hint="eastAsia"/>
              <w:lang w:val="en-US" w:eastAsia="zh-CN"/>
            </w:rPr>
            <w:t>七、</w:t>
          </w:r>
          <w:r>
            <w:rPr>
              <w:rFonts w:hint="eastAsia"/>
            </w:rPr>
            <w:t>重大分歧意见的处理</w:t>
          </w:r>
          <w:r>
            <w:rPr>
              <w:rFonts w:hint="eastAsia"/>
              <w:lang w:val="en-US" w:eastAsia="zh-CN"/>
            </w:rPr>
            <w:t>结果和</w:t>
          </w:r>
          <w:r>
            <w:rPr>
              <w:rFonts w:hint="eastAsia"/>
            </w:rPr>
            <w:t>依据</w:t>
          </w:r>
          <w:r>
            <w:tab/>
          </w:r>
          <w:r>
            <w:fldChar w:fldCharType="begin"/>
          </w:r>
          <w:r>
            <w:instrText xml:space="preserve"> PAGEREF _Toc26743 \h </w:instrText>
          </w:r>
          <w:r>
            <w:fldChar w:fldCharType="separate"/>
          </w:r>
          <w:r>
            <w:t>12</w:t>
          </w:r>
          <w:r>
            <w:fldChar w:fldCharType="end"/>
          </w:r>
          <w:r>
            <w:rPr>
              <w:rFonts w:eastAsia="宋体" w:cs="Times New Roman"/>
              <w:szCs w:val="21"/>
              <w:lang w:val="zh-CN"/>
            </w:rPr>
            <w:fldChar w:fldCharType="end"/>
          </w:r>
        </w:p>
        <w:p w14:paraId="59445A87">
          <w:pPr>
            <w:pStyle w:val="18"/>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_Toc3979 </w:instrText>
          </w:r>
          <w:r>
            <w:rPr>
              <w:rFonts w:eastAsia="宋体" w:cs="Times New Roman"/>
              <w:szCs w:val="21"/>
              <w:lang w:val="zh-CN"/>
            </w:rPr>
            <w:fldChar w:fldCharType="separate"/>
          </w:r>
          <w:r>
            <w:rPr>
              <w:rFonts w:hint="eastAsia"/>
              <w:lang w:val="en-US" w:eastAsia="zh-CN"/>
            </w:rPr>
            <w:t>八</w:t>
          </w:r>
          <w:r>
            <w:rPr>
              <w:rFonts w:hint="eastAsia"/>
            </w:rPr>
            <w:t>、根据需要提出实施标准的建议</w:t>
          </w:r>
          <w:r>
            <w:tab/>
          </w:r>
          <w:r>
            <w:fldChar w:fldCharType="begin"/>
          </w:r>
          <w:r>
            <w:instrText xml:space="preserve"> PAGEREF _Toc3979 \h </w:instrText>
          </w:r>
          <w:r>
            <w:fldChar w:fldCharType="separate"/>
          </w:r>
          <w:r>
            <w:t>12</w:t>
          </w:r>
          <w:r>
            <w:fldChar w:fldCharType="end"/>
          </w:r>
          <w:r>
            <w:rPr>
              <w:rFonts w:eastAsia="宋体" w:cs="Times New Roman"/>
              <w:szCs w:val="21"/>
              <w:lang w:val="zh-CN"/>
            </w:rPr>
            <w:fldChar w:fldCharType="end"/>
          </w:r>
        </w:p>
        <w:p w14:paraId="3BCFC66C">
          <w:pPr>
            <w:pStyle w:val="18"/>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_Toc28501 </w:instrText>
          </w:r>
          <w:r>
            <w:rPr>
              <w:rFonts w:eastAsia="宋体" w:cs="Times New Roman"/>
              <w:szCs w:val="21"/>
              <w:lang w:val="zh-CN"/>
            </w:rPr>
            <w:fldChar w:fldCharType="separate"/>
          </w:r>
          <w:r>
            <w:rPr>
              <w:rFonts w:hint="eastAsia"/>
              <w:lang w:val="en-US" w:eastAsia="zh-CN"/>
            </w:rPr>
            <w:t>九</w:t>
          </w:r>
          <w:r>
            <w:rPr>
              <w:rFonts w:hint="eastAsia"/>
            </w:rPr>
            <w:t>、其他应予说明的事项</w:t>
          </w:r>
          <w:r>
            <w:tab/>
          </w:r>
          <w:r>
            <w:fldChar w:fldCharType="begin"/>
          </w:r>
          <w:r>
            <w:instrText xml:space="preserve"> PAGEREF _Toc28501 \h </w:instrText>
          </w:r>
          <w:r>
            <w:fldChar w:fldCharType="separate"/>
          </w:r>
          <w:r>
            <w:t>12</w:t>
          </w:r>
          <w:r>
            <w:fldChar w:fldCharType="end"/>
          </w:r>
          <w:r>
            <w:rPr>
              <w:rFonts w:eastAsia="宋体" w:cs="Times New Roman"/>
              <w:szCs w:val="21"/>
              <w:lang w:val="zh-CN"/>
            </w:rPr>
            <w:fldChar w:fldCharType="end"/>
          </w:r>
        </w:p>
        <w:p w14:paraId="0D10357A">
          <w:pPr>
            <w:pStyle w:val="18"/>
            <w:tabs>
              <w:tab w:val="right" w:leader="dot" w:pos="8306"/>
            </w:tabs>
            <w:rPr>
              <w:rFonts w:hint="eastAsia" w:eastAsia="宋体"/>
              <w:lang w:val="en-US" w:eastAsia="zh-CN"/>
            </w:rPr>
          </w:pPr>
          <w:r>
            <w:rPr>
              <w:rFonts w:eastAsia="宋体" w:cs="Times New Roman"/>
              <w:szCs w:val="21"/>
              <w:lang w:val="zh-CN"/>
            </w:rPr>
            <w:fldChar w:fldCharType="begin"/>
          </w:r>
          <w:r>
            <w:rPr>
              <w:rFonts w:eastAsia="宋体" w:cs="Times New Roman"/>
              <w:szCs w:val="21"/>
              <w:lang w:val="zh-CN"/>
            </w:rPr>
            <w:instrText xml:space="preserve"> HYPERLINK \l _Toc21524 </w:instrText>
          </w:r>
          <w:r>
            <w:rPr>
              <w:rFonts w:eastAsia="宋体" w:cs="Times New Roman"/>
              <w:szCs w:val="21"/>
              <w:lang w:val="zh-CN"/>
            </w:rPr>
            <w:fldChar w:fldCharType="separate"/>
          </w:r>
          <w:r>
            <w:rPr>
              <w:rFonts w:hint="eastAsia"/>
              <w:lang w:val="en-US" w:eastAsia="zh-CN"/>
            </w:rPr>
            <w:t>附件：</w:t>
          </w:r>
          <w:r>
            <w:rPr>
              <w:rFonts w:hint="eastAsia"/>
            </w:rPr>
            <w:t>静电场采样方法对空气微生物的采集效果评价现场研究简报</w:t>
          </w:r>
          <w:r>
            <w:tab/>
          </w:r>
          <w:r>
            <w:fldChar w:fldCharType="begin"/>
          </w:r>
          <w:r>
            <w:instrText xml:space="preserve"> PAGEREF _Toc21524 \h </w:instrText>
          </w:r>
          <w:r>
            <w:fldChar w:fldCharType="separate"/>
          </w:r>
          <w:r>
            <w:t>1</w:t>
          </w:r>
          <w:r>
            <w:fldChar w:fldCharType="end"/>
          </w:r>
          <w:r>
            <w:rPr>
              <w:rFonts w:eastAsia="宋体" w:cs="Times New Roman"/>
              <w:szCs w:val="21"/>
              <w:lang w:val="zh-CN"/>
            </w:rPr>
            <w:fldChar w:fldCharType="end"/>
          </w:r>
          <w:r>
            <w:rPr>
              <w:rFonts w:hint="eastAsia" w:eastAsia="宋体" w:cs="Times New Roman"/>
              <w:szCs w:val="21"/>
              <w:lang w:val="en-US" w:eastAsia="zh-CN"/>
            </w:rPr>
            <w:t>3</w:t>
          </w:r>
        </w:p>
        <w:p w14:paraId="23C5D024">
          <w:pPr>
            <w:pStyle w:val="18"/>
            <w:tabs>
              <w:tab w:val="right" w:leader="dot" w:pos="8306"/>
            </w:tabs>
          </w:pPr>
        </w:p>
        <w:p w14:paraId="79E9B863">
          <w:pPr>
            <w:spacing w:line="240" w:lineRule="auto"/>
            <w:jc w:val="center"/>
            <w:rPr>
              <w:rFonts w:eastAsia="宋体" w:cs="Times New Roman"/>
              <w:szCs w:val="20"/>
              <w:lang w:val="zh-CN"/>
            </w:rPr>
          </w:pPr>
          <w:r>
            <w:rPr>
              <w:rFonts w:eastAsia="宋体" w:cs="Times New Roman"/>
              <w:szCs w:val="21"/>
              <w:lang w:val="zh-CN"/>
            </w:rPr>
            <w:fldChar w:fldCharType="end"/>
          </w:r>
        </w:p>
      </w:sdtContent>
    </w:sdt>
    <w:p w14:paraId="72A266A9">
      <w:pPr>
        <w:jc w:val="center"/>
        <w:rPr>
          <w:rFonts w:eastAsia="宋体" w:cs="Times New Roman"/>
          <w:szCs w:val="20"/>
          <w:lang w:val="zh-CN"/>
        </w:rPr>
        <w:sectPr>
          <w:pgSz w:w="11906" w:h="16838"/>
          <w:pgMar w:top="1440" w:right="1800" w:bottom="1440" w:left="1800" w:header="851" w:footer="992" w:gutter="0"/>
          <w:cols w:space="425" w:num="1"/>
          <w:docGrid w:type="lines" w:linePitch="326" w:charSpace="0"/>
        </w:sectPr>
      </w:pPr>
    </w:p>
    <w:p w14:paraId="6CAC3A95">
      <w:pPr>
        <w:jc w:val="center"/>
        <w:rPr>
          <w:rFonts w:eastAsia="宋体" w:cs="Times New Roman"/>
          <w:szCs w:val="20"/>
          <w:lang w:val="zh-CN"/>
        </w:rPr>
        <w:sectPr>
          <w:footerReference r:id="rId7" w:type="default"/>
          <w:pgSz w:w="11906" w:h="16838"/>
          <w:pgMar w:top="1440" w:right="1800" w:bottom="1440" w:left="1800" w:header="851" w:footer="992" w:gutter="0"/>
          <w:pgNumType w:fmt="decimal" w:start="1"/>
          <w:cols w:space="425" w:num="1"/>
          <w:docGrid w:type="lines" w:linePitch="326" w:charSpace="0"/>
        </w:sectPr>
      </w:pPr>
    </w:p>
    <w:p w14:paraId="15287880">
      <w:pPr>
        <w:pStyle w:val="2"/>
        <w:spacing w:before="0" w:after="0"/>
        <w:rPr>
          <w:sz w:val="28"/>
        </w:rPr>
      </w:pPr>
      <w:bookmarkStart w:id="1" w:name="_Toc67407043"/>
      <w:bookmarkStart w:id="2" w:name="_Toc361"/>
      <w:bookmarkStart w:id="3" w:name="_Toc26584"/>
      <w:bookmarkStart w:id="4" w:name="_Toc8143"/>
      <w:bookmarkStart w:id="5" w:name="_Toc24020"/>
      <w:bookmarkStart w:id="6" w:name="_Toc739"/>
      <w:bookmarkStart w:id="7" w:name="_Toc1611"/>
      <w:bookmarkStart w:id="8" w:name="_Toc27512"/>
      <w:bookmarkStart w:id="9" w:name="_Toc204705120"/>
      <w:bookmarkStart w:id="10" w:name="_Toc3299"/>
      <w:bookmarkStart w:id="11" w:name="_Toc981"/>
      <w:bookmarkStart w:id="12" w:name="_Toc10050"/>
      <w:bookmarkStart w:id="13" w:name="_Toc69553225"/>
      <w:bookmarkStart w:id="14" w:name="_Toc15609"/>
      <w:bookmarkStart w:id="15" w:name="_Toc24721"/>
      <w:bookmarkStart w:id="16" w:name="_Toc7477"/>
      <w:bookmarkStart w:id="17" w:name="_Toc67407044"/>
      <w:bookmarkStart w:id="18" w:name="_Toc69553226"/>
      <w:bookmarkStart w:id="19" w:name="_Toc91173558"/>
      <w:bookmarkStart w:id="20" w:name="_Toc91763190"/>
      <w:r>
        <w:rPr>
          <w:rFonts w:hint="eastAsia"/>
          <w:sz w:val="28"/>
        </w:rPr>
        <w:t>一、</w:t>
      </w:r>
      <w:bookmarkEnd w:id="1"/>
      <w:r>
        <w:rPr>
          <w:rFonts w:hint="eastAsia"/>
          <w:sz w:val="28"/>
        </w:rPr>
        <w:t>工作简况</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E9CAB55">
      <w:pPr>
        <w:pStyle w:val="3"/>
        <w:spacing w:before="156" w:after="156"/>
        <w:ind w:firstLine="482"/>
      </w:pPr>
      <w:bookmarkStart w:id="21" w:name="_Toc30881"/>
      <w:bookmarkStart w:id="22" w:name="_Toc7114"/>
      <w:bookmarkStart w:id="23" w:name="_Toc8079"/>
      <w:bookmarkStart w:id="24" w:name="_Toc20161"/>
      <w:bookmarkStart w:id="25" w:name="_Toc21537"/>
      <w:bookmarkStart w:id="26" w:name="_Toc3819"/>
      <w:bookmarkStart w:id="27" w:name="_Toc11569"/>
      <w:bookmarkStart w:id="28" w:name="_Toc2876"/>
      <w:bookmarkStart w:id="29" w:name="_Toc5592"/>
      <w:bookmarkStart w:id="30" w:name="_Toc27606"/>
      <w:bookmarkStart w:id="31" w:name="_Toc16696"/>
      <w:bookmarkStart w:id="32" w:name="_Toc16525"/>
      <w:bookmarkStart w:id="33" w:name="_Toc24508"/>
      <w:r>
        <w:rPr>
          <w:rFonts w:hint="eastAsia"/>
        </w:rPr>
        <w:t>（一）任务来源</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rFonts w:hint="eastAsia"/>
          <w:lang w:val="en-US" w:eastAsia="zh-CN"/>
        </w:rPr>
        <w:t>与项目编号</w:t>
      </w:r>
      <w:bookmarkEnd w:id="33"/>
    </w:p>
    <w:p w14:paraId="5235B4C7">
      <w:pPr>
        <w:adjustRightInd w:val="0"/>
        <w:snapToGrid w:val="0"/>
        <w:spacing w:line="240" w:lineRule="auto"/>
        <w:ind w:firstLine="480" w:firstLineChars="200"/>
        <w:rPr>
          <w:rFonts w:hint="default" w:eastAsia="仿宋" w:cs="Times New Roman"/>
          <w:szCs w:val="24"/>
          <w:lang w:val="en-US" w:eastAsia="zh-CN"/>
        </w:rPr>
      </w:pPr>
      <w:bookmarkStart w:id="34" w:name="OLE_LINK5"/>
      <w:bookmarkStart w:id="35" w:name="OLE_LINK9"/>
      <w:r>
        <w:rPr>
          <w:rFonts w:hint="eastAsia" w:cs="Times New Roman"/>
          <w:szCs w:val="24"/>
        </w:rPr>
        <w:t>2025年</w:t>
      </w:r>
      <w:r>
        <w:rPr>
          <w:rFonts w:hint="eastAsia" w:cs="Times New Roman"/>
          <w:szCs w:val="24"/>
          <w:lang w:val="en-US" w:eastAsia="zh-CN"/>
        </w:rPr>
        <w:t>8</w:t>
      </w:r>
      <w:r>
        <w:rPr>
          <w:rFonts w:hint="eastAsia" w:cs="Times New Roman"/>
          <w:szCs w:val="24"/>
        </w:rPr>
        <w:t>月</w:t>
      </w:r>
      <w:r>
        <w:rPr>
          <w:rFonts w:hint="eastAsia" w:cs="Times New Roman"/>
          <w:szCs w:val="24"/>
          <w:lang w:val="en-US" w:eastAsia="zh-CN"/>
        </w:rPr>
        <w:t>1日</w:t>
      </w:r>
      <w:r>
        <w:rPr>
          <w:rFonts w:hint="eastAsia" w:cs="Times New Roman"/>
          <w:szCs w:val="24"/>
        </w:rPr>
        <w:t>，中国民族卫生协会民族医药卫生标准专业委员会</w:t>
      </w:r>
      <w:r>
        <w:rPr>
          <w:rFonts w:hint="eastAsia" w:cs="Times New Roman"/>
          <w:szCs w:val="24"/>
          <w:lang w:val="en-US" w:eastAsia="zh-CN"/>
        </w:rPr>
        <w:t>发布</w:t>
      </w:r>
      <w:r>
        <w:rPr>
          <w:rFonts w:hint="eastAsia" w:cs="Times New Roman"/>
          <w:szCs w:val="24"/>
        </w:rPr>
        <w:t>《</w:t>
      </w:r>
      <w:r>
        <w:rPr>
          <w:rFonts w:hint="eastAsia" w:cs="Times New Roman"/>
          <w:szCs w:val="24"/>
          <w:lang w:val="en-US" w:eastAsia="zh-CN"/>
        </w:rPr>
        <w:t>地铁场站</w:t>
      </w:r>
      <w:r>
        <w:rPr>
          <w:rFonts w:hint="eastAsia" w:cs="Times New Roman"/>
          <w:szCs w:val="24"/>
        </w:rPr>
        <w:t>室内空气病原体现场智能采样技术指南》</w:t>
      </w:r>
      <w:bookmarkEnd w:id="34"/>
      <w:bookmarkEnd w:id="35"/>
      <w:r>
        <w:rPr>
          <w:rFonts w:hint="eastAsia" w:cs="Times New Roman"/>
          <w:szCs w:val="24"/>
          <w:lang w:val="en-US" w:eastAsia="zh-CN"/>
        </w:rPr>
        <w:t>立项。</w:t>
      </w:r>
    </w:p>
    <w:p w14:paraId="10534A8E">
      <w:pPr>
        <w:pStyle w:val="3"/>
        <w:spacing w:before="156" w:after="156"/>
        <w:ind w:firstLine="482"/>
        <w:rPr>
          <w:rFonts w:hint="default" w:eastAsia="仿宋"/>
          <w:lang w:val="en-US" w:eastAsia="zh-CN"/>
        </w:rPr>
      </w:pPr>
      <w:bookmarkStart w:id="36" w:name="_Toc91173559"/>
      <w:bookmarkStart w:id="37" w:name="_Toc91763191"/>
      <w:bookmarkStart w:id="38" w:name="_Toc32404"/>
      <w:bookmarkStart w:id="39" w:name="_Toc21689"/>
      <w:bookmarkStart w:id="40" w:name="_Toc1872"/>
      <w:bookmarkStart w:id="41" w:name="_Toc18623"/>
      <w:bookmarkStart w:id="42" w:name="_Toc12673"/>
      <w:bookmarkStart w:id="43" w:name="_Toc9815"/>
      <w:bookmarkStart w:id="44" w:name="_Toc4580"/>
      <w:bookmarkStart w:id="45" w:name="_Toc32524"/>
      <w:bookmarkStart w:id="46" w:name="_Toc5868"/>
      <w:bookmarkStart w:id="47" w:name="_Toc30265"/>
      <w:bookmarkStart w:id="48" w:name="_Toc23863"/>
      <w:bookmarkStart w:id="49" w:name="_Toc21212"/>
      <w:bookmarkStart w:id="50" w:name="_Toc13447"/>
      <w:r>
        <w:rPr>
          <w:rFonts w:hint="eastAsia"/>
        </w:rPr>
        <w:t>（二）</w:t>
      </w:r>
      <w:r>
        <w:rPr>
          <w:rFonts w:hint="eastAsia"/>
          <w:lang w:val="en-US" w:eastAsia="zh-CN"/>
        </w:rPr>
        <w:t>参与协作单位、</w:t>
      </w:r>
      <w:r>
        <w:rPr>
          <w:rFonts w:hint="eastAsia"/>
        </w:rPr>
        <w:t>起草人</w:t>
      </w:r>
      <w:bookmarkEnd w:id="36"/>
      <w:bookmarkEnd w:id="37"/>
      <w:r>
        <w:rPr>
          <w:rFonts w:hint="eastAsia"/>
        </w:rPr>
        <w:t>及其所</w:t>
      </w:r>
      <w:bookmarkEnd w:id="38"/>
      <w:bookmarkEnd w:id="39"/>
      <w:bookmarkEnd w:id="40"/>
      <w:bookmarkEnd w:id="41"/>
      <w:bookmarkEnd w:id="42"/>
      <w:bookmarkEnd w:id="43"/>
      <w:bookmarkEnd w:id="44"/>
      <w:bookmarkEnd w:id="45"/>
      <w:bookmarkEnd w:id="46"/>
      <w:bookmarkEnd w:id="47"/>
      <w:bookmarkEnd w:id="48"/>
      <w:bookmarkEnd w:id="49"/>
      <w:r>
        <w:rPr>
          <w:rFonts w:hint="eastAsia"/>
          <w:lang w:val="en-US" w:eastAsia="zh-CN"/>
        </w:rPr>
        <w:t>承担工作</w:t>
      </w:r>
      <w:bookmarkEnd w:id="50"/>
    </w:p>
    <w:p w14:paraId="75076FF7">
      <w:pPr>
        <w:adjustRightInd w:val="0"/>
        <w:snapToGrid w:val="0"/>
        <w:spacing w:line="240" w:lineRule="auto"/>
        <w:ind w:firstLine="480" w:firstLineChars="200"/>
        <w:rPr>
          <w:rFonts w:cs="Times New Roman"/>
          <w:szCs w:val="24"/>
        </w:rPr>
      </w:pPr>
      <w:r>
        <w:rPr>
          <w:rFonts w:hint="eastAsia" w:cs="Times New Roman"/>
          <w:szCs w:val="24"/>
        </w:rPr>
        <w:t>本标准负责起草单位：中国疾病预防控制中心环境与健康相关产品安全所，总体负责本标准的修订。</w:t>
      </w:r>
    </w:p>
    <w:p w14:paraId="232FA030">
      <w:pPr>
        <w:adjustRightInd w:val="0"/>
        <w:snapToGrid w:val="0"/>
        <w:spacing w:line="240" w:lineRule="auto"/>
        <w:ind w:firstLine="480" w:firstLineChars="200"/>
        <w:rPr>
          <w:rFonts w:cs="Times New Roman"/>
          <w:szCs w:val="24"/>
        </w:rPr>
      </w:pPr>
      <w:r>
        <w:rPr>
          <w:rFonts w:hint="eastAsia" w:cs="Times New Roman"/>
          <w:szCs w:val="24"/>
        </w:rPr>
        <w:t>本标准参加起草单位：北京大学、</w:t>
      </w:r>
      <w:r>
        <w:rPr>
          <w:rFonts w:hint="eastAsia"/>
          <w:lang w:val="en-US" w:eastAsia="zh-CN"/>
        </w:rPr>
        <w:t>广东省疾病预防控制中心、</w:t>
      </w:r>
      <w:r>
        <w:rPr>
          <w:rFonts w:hint="eastAsia" w:cs="Times New Roman"/>
          <w:szCs w:val="24"/>
        </w:rPr>
        <w:t>北京工匠生物技术有限公司。</w:t>
      </w:r>
    </w:p>
    <w:p w14:paraId="52FBFCF9">
      <w:pPr>
        <w:adjustRightInd w:val="0"/>
        <w:snapToGrid w:val="0"/>
        <w:spacing w:line="240" w:lineRule="auto"/>
        <w:ind w:firstLine="480" w:firstLineChars="200"/>
        <w:rPr>
          <w:rFonts w:cs="Times New Roman"/>
          <w:szCs w:val="24"/>
        </w:rPr>
      </w:pPr>
      <w:r>
        <w:rPr>
          <w:rFonts w:hint="eastAsia" w:cs="Times New Roman"/>
          <w:szCs w:val="24"/>
        </w:rPr>
        <w:t>本文件主要起草人：</w:t>
      </w:r>
      <w:bookmarkStart w:id="51" w:name="OLE_LINK8"/>
      <w:r>
        <w:rPr>
          <w:rFonts w:hint="eastAsia" w:cs="Times New Roman"/>
          <w:szCs w:val="24"/>
        </w:rPr>
        <w:t>王先良、李莉</w:t>
      </w:r>
      <w:r>
        <w:rPr>
          <w:rFonts w:hint="eastAsia" w:cs="Times New Roman"/>
          <w:szCs w:val="24"/>
          <w:lang w:eastAsia="zh-CN"/>
        </w:rPr>
        <w:t>、</w:t>
      </w:r>
      <w:r>
        <w:rPr>
          <w:rFonts w:hint="eastAsia" w:cs="Times New Roman"/>
          <w:szCs w:val="24"/>
          <w:lang w:val="en-US" w:eastAsia="zh-CN"/>
        </w:rPr>
        <w:t>要茂盛</w:t>
      </w:r>
      <w:bookmarkEnd w:id="51"/>
      <w:r>
        <w:rPr>
          <w:rFonts w:hint="eastAsia" w:cs="Times New Roman"/>
          <w:szCs w:val="24"/>
          <w:lang w:val="en-US" w:eastAsia="zh-CN"/>
        </w:rPr>
        <w:t>、陈秋霞、牛计伟、高苗</w:t>
      </w:r>
      <w:r>
        <w:rPr>
          <w:rFonts w:hint="eastAsia" w:cs="Times New Roman"/>
          <w:szCs w:val="24"/>
        </w:rPr>
        <w:t>。</w:t>
      </w:r>
    </w:p>
    <w:p w14:paraId="278D6163">
      <w:pPr>
        <w:adjustRightInd w:val="0"/>
        <w:snapToGrid w:val="0"/>
        <w:spacing w:line="240" w:lineRule="auto"/>
        <w:ind w:firstLine="480" w:firstLineChars="200"/>
        <w:rPr>
          <w:rFonts w:cs="Times New Roman"/>
          <w:szCs w:val="24"/>
        </w:rPr>
      </w:pPr>
      <w:r>
        <w:rPr>
          <w:rFonts w:hint="eastAsia" w:cs="Times New Roman"/>
          <w:szCs w:val="24"/>
        </w:rPr>
        <w:t>各起草人承担的工作如下：</w:t>
      </w:r>
    </w:p>
    <w:p w14:paraId="16CBCC14">
      <w:pPr>
        <w:adjustRightInd w:val="0"/>
        <w:snapToGrid w:val="0"/>
        <w:spacing w:line="240" w:lineRule="auto"/>
        <w:ind w:firstLine="480" w:firstLineChars="200"/>
        <w:rPr>
          <w:rFonts w:cs="Times New Roman"/>
          <w:szCs w:val="24"/>
        </w:rPr>
      </w:pPr>
      <w:r>
        <w:rPr>
          <w:rFonts w:hint="eastAsia" w:cs="Times New Roman"/>
          <w:szCs w:val="24"/>
        </w:rPr>
        <w:t>王先良，中国疾病预防控制中心环境与健康相关产品安全所。负责本文件结构框架制订、修订工作方案制定、项目组织实施、技术材料审核</w:t>
      </w:r>
      <w:r>
        <w:rPr>
          <w:rFonts w:hint="eastAsia" w:cs="Times New Roman"/>
          <w:szCs w:val="24"/>
          <w:lang w:eastAsia="zh-CN"/>
        </w:rPr>
        <w:t>，</w:t>
      </w:r>
      <w:r>
        <w:rPr>
          <w:rFonts w:hint="eastAsia" w:cs="Times New Roman"/>
          <w:szCs w:val="24"/>
        </w:rPr>
        <w:t>组织编写标准</w:t>
      </w:r>
      <w:r>
        <w:rPr>
          <w:rFonts w:hint="eastAsia" w:cs="Times New Roman"/>
          <w:szCs w:val="24"/>
          <w:lang w:val="en-US" w:eastAsia="zh-CN"/>
        </w:rPr>
        <w:t>文</w:t>
      </w:r>
      <w:r>
        <w:rPr>
          <w:rFonts w:hint="eastAsia" w:cs="Times New Roman"/>
          <w:szCs w:val="24"/>
        </w:rPr>
        <w:t>稿、编制说明</w:t>
      </w:r>
      <w:r>
        <w:rPr>
          <w:rFonts w:hint="eastAsia" w:cs="Times New Roman"/>
          <w:szCs w:val="24"/>
          <w:lang w:val="en-US" w:eastAsia="zh-CN"/>
        </w:rPr>
        <w:t>及</w:t>
      </w:r>
      <w:r>
        <w:rPr>
          <w:rFonts w:hint="eastAsia" w:cs="Times New Roman"/>
          <w:szCs w:val="24"/>
        </w:rPr>
        <w:t>标准解读等相关文件。为本项目总体负责人。</w:t>
      </w:r>
    </w:p>
    <w:p w14:paraId="684F374D">
      <w:pPr>
        <w:adjustRightInd w:val="0"/>
        <w:snapToGrid w:val="0"/>
        <w:spacing w:line="240" w:lineRule="auto"/>
        <w:ind w:firstLine="480" w:firstLineChars="200"/>
        <w:rPr>
          <w:rFonts w:hint="default" w:eastAsia="仿宋" w:cs="Times New Roman"/>
          <w:szCs w:val="24"/>
          <w:lang w:val="en-US" w:eastAsia="zh-CN"/>
        </w:rPr>
      </w:pPr>
      <w:r>
        <w:rPr>
          <w:rFonts w:hint="eastAsia" w:cs="Times New Roman"/>
          <w:szCs w:val="24"/>
        </w:rPr>
        <w:t>李莉，中国疾病预防控制中心环境与健康相关产品安全所。主要负责标准初稿、征求意见稿、送审稿、标准解读、编制说明、评估报告等相关文件。</w:t>
      </w:r>
      <w:r>
        <w:rPr>
          <w:rFonts w:hint="eastAsia" w:cs="Times New Roman"/>
          <w:szCs w:val="24"/>
          <w:lang w:val="en-US" w:eastAsia="zh-CN"/>
        </w:rPr>
        <w:t>负责开展技术方法现场验证工作。</w:t>
      </w:r>
    </w:p>
    <w:p w14:paraId="33E36703">
      <w:pPr>
        <w:adjustRightInd w:val="0"/>
        <w:snapToGrid w:val="0"/>
        <w:spacing w:line="240" w:lineRule="auto"/>
        <w:ind w:firstLine="480" w:firstLineChars="200"/>
        <w:rPr>
          <w:rFonts w:cs="Times New Roman"/>
          <w:szCs w:val="24"/>
        </w:rPr>
      </w:pPr>
      <w:r>
        <w:rPr>
          <w:rFonts w:hint="eastAsia" w:cs="Times New Roman"/>
          <w:szCs w:val="24"/>
          <w:lang w:val="en-US" w:eastAsia="zh-CN"/>
        </w:rPr>
        <w:t>要茂盛</w:t>
      </w:r>
      <w:r>
        <w:rPr>
          <w:rFonts w:hint="eastAsia" w:cs="Times New Roman"/>
          <w:szCs w:val="24"/>
        </w:rPr>
        <w:t>，</w:t>
      </w:r>
      <w:r>
        <w:rPr>
          <w:rFonts w:hint="eastAsia" w:cs="Times New Roman"/>
          <w:szCs w:val="24"/>
          <w:lang w:val="en-US" w:eastAsia="zh-CN"/>
        </w:rPr>
        <w:t>北京大学</w:t>
      </w:r>
      <w:r>
        <w:rPr>
          <w:rFonts w:hint="eastAsia" w:cs="Times New Roman"/>
          <w:szCs w:val="24"/>
        </w:rPr>
        <w:t>。主要负责适用范围、规范性引用文件、术语定义的修订，参与</w:t>
      </w:r>
      <w:r>
        <w:rPr>
          <w:rFonts w:hint="eastAsia" w:cs="Times New Roman"/>
          <w:szCs w:val="24"/>
          <w:lang w:val="en-US" w:eastAsia="zh-CN"/>
        </w:rPr>
        <w:t>技术设备研发</w:t>
      </w:r>
      <w:r>
        <w:rPr>
          <w:rFonts w:hint="eastAsia" w:cs="Times New Roman"/>
          <w:szCs w:val="24"/>
        </w:rPr>
        <w:t>、标准</w:t>
      </w:r>
      <w:r>
        <w:rPr>
          <w:rFonts w:hint="eastAsia" w:cs="Times New Roman"/>
          <w:szCs w:val="24"/>
          <w:lang w:val="en-US" w:eastAsia="zh-CN"/>
        </w:rPr>
        <w:t>文</w:t>
      </w:r>
      <w:r>
        <w:rPr>
          <w:rFonts w:hint="eastAsia" w:cs="Times New Roman"/>
          <w:szCs w:val="24"/>
        </w:rPr>
        <w:t>稿</w:t>
      </w:r>
      <w:r>
        <w:rPr>
          <w:rFonts w:hint="eastAsia" w:cs="Times New Roman"/>
          <w:szCs w:val="24"/>
          <w:lang w:val="en-US" w:eastAsia="zh-CN"/>
        </w:rPr>
        <w:t>和</w:t>
      </w:r>
      <w:r>
        <w:rPr>
          <w:rFonts w:hint="eastAsia" w:cs="Times New Roman"/>
          <w:szCs w:val="24"/>
        </w:rPr>
        <w:t>编制说明的讨论和修改。</w:t>
      </w:r>
    </w:p>
    <w:p w14:paraId="5F1A7C2B">
      <w:pPr>
        <w:adjustRightInd w:val="0"/>
        <w:snapToGrid w:val="0"/>
        <w:spacing w:line="240" w:lineRule="auto"/>
        <w:ind w:firstLine="480" w:firstLineChars="200"/>
        <w:rPr>
          <w:rFonts w:cs="Times New Roman"/>
          <w:szCs w:val="24"/>
        </w:rPr>
      </w:pPr>
      <w:r>
        <w:rPr>
          <w:rFonts w:hint="eastAsia" w:cs="Times New Roman"/>
          <w:szCs w:val="24"/>
          <w:lang w:val="en-US" w:eastAsia="zh-CN"/>
        </w:rPr>
        <w:t>陈秋霞</w:t>
      </w:r>
      <w:r>
        <w:rPr>
          <w:rFonts w:hint="eastAsia" w:cs="Times New Roman"/>
          <w:szCs w:val="24"/>
        </w:rPr>
        <w:t>，</w:t>
      </w:r>
      <w:r>
        <w:rPr>
          <w:rFonts w:hint="eastAsia" w:cs="Times New Roman"/>
          <w:szCs w:val="24"/>
          <w:lang w:val="en-US" w:eastAsia="zh-CN"/>
        </w:rPr>
        <w:t>广东</w:t>
      </w:r>
      <w:r>
        <w:rPr>
          <w:rFonts w:hint="eastAsia" w:cs="Times New Roman"/>
          <w:szCs w:val="24"/>
        </w:rPr>
        <w:t>省疾病预防控制中心。主要负责</w:t>
      </w:r>
      <w:r>
        <w:rPr>
          <w:rFonts w:hint="eastAsia" w:cs="Times New Roman"/>
          <w:szCs w:val="24"/>
          <w:lang w:val="en-US" w:eastAsia="zh-CN"/>
        </w:rPr>
        <w:t>技术设备现场验证、评估报告编写</w:t>
      </w:r>
      <w:r>
        <w:rPr>
          <w:rFonts w:hint="eastAsia" w:cs="Times New Roman"/>
          <w:szCs w:val="24"/>
        </w:rPr>
        <w:t>，参与标准</w:t>
      </w:r>
      <w:r>
        <w:rPr>
          <w:rFonts w:hint="eastAsia" w:cs="Times New Roman"/>
          <w:szCs w:val="24"/>
          <w:lang w:val="en-US" w:eastAsia="zh-CN"/>
        </w:rPr>
        <w:t>文</w:t>
      </w:r>
      <w:r>
        <w:rPr>
          <w:rFonts w:hint="eastAsia" w:cs="Times New Roman"/>
          <w:szCs w:val="24"/>
        </w:rPr>
        <w:t>稿</w:t>
      </w:r>
      <w:r>
        <w:rPr>
          <w:rFonts w:hint="eastAsia" w:cs="Times New Roman"/>
          <w:szCs w:val="24"/>
          <w:lang w:val="en-US" w:eastAsia="zh-CN"/>
        </w:rPr>
        <w:t>和</w:t>
      </w:r>
      <w:r>
        <w:rPr>
          <w:rFonts w:hint="eastAsia" w:cs="Times New Roman"/>
          <w:szCs w:val="24"/>
        </w:rPr>
        <w:t>编制说明的讨论和修改。</w:t>
      </w:r>
    </w:p>
    <w:p w14:paraId="66FC4D80">
      <w:pPr>
        <w:adjustRightInd w:val="0"/>
        <w:snapToGrid w:val="0"/>
        <w:spacing w:line="240" w:lineRule="auto"/>
        <w:ind w:firstLine="480" w:firstLineChars="200"/>
        <w:rPr>
          <w:rFonts w:cs="Times New Roman"/>
          <w:szCs w:val="24"/>
        </w:rPr>
      </w:pPr>
      <w:r>
        <w:rPr>
          <w:rFonts w:hint="eastAsia" w:cs="Times New Roman"/>
          <w:szCs w:val="24"/>
          <w:lang w:val="en-US" w:eastAsia="zh-CN"/>
        </w:rPr>
        <w:t>牛计伟</w:t>
      </w:r>
      <w:r>
        <w:rPr>
          <w:rFonts w:hint="eastAsia" w:cs="Times New Roman"/>
          <w:szCs w:val="24"/>
        </w:rPr>
        <w:t>，</w:t>
      </w:r>
      <w:r>
        <w:rPr>
          <w:rFonts w:hint="eastAsia"/>
          <w:lang w:val="en-US" w:eastAsia="zh-CN"/>
        </w:rPr>
        <w:t>广东省疾病预防控制中心</w:t>
      </w:r>
      <w:r>
        <w:rPr>
          <w:rFonts w:hint="eastAsia" w:cs="Times New Roman"/>
          <w:szCs w:val="24"/>
        </w:rPr>
        <w:t>。主要负责</w:t>
      </w:r>
      <w:r>
        <w:rPr>
          <w:rFonts w:hint="eastAsia" w:cs="Times New Roman"/>
          <w:szCs w:val="24"/>
          <w:lang w:val="en-US" w:eastAsia="zh-CN"/>
        </w:rPr>
        <w:t>技术设备现场验证、评估报告编写</w:t>
      </w:r>
      <w:r>
        <w:rPr>
          <w:rFonts w:hint="eastAsia" w:cs="Times New Roman"/>
          <w:szCs w:val="24"/>
        </w:rPr>
        <w:t>，参与标准</w:t>
      </w:r>
      <w:r>
        <w:rPr>
          <w:rFonts w:hint="eastAsia" w:cs="Times New Roman"/>
          <w:szCs w:val="24"/>
          <w:lang w:val="en-US" w:eastAsia="zh-CN"/>
        </w:rPr>
        <w:t>文</w:t>
      </w:r>
      <w:r>
        <w:rPr>
          <w:rFonts w:hint="eastAsia" w:cs="Times New Roman"/>
          <w:szCs w:val="24"/>
        </w:rPr>
        <w:t>稿</w:t>
      </w:r>
      <w:r>
        <w:rPr>
          <w:rFonts w:hint="eastAsia" w:cs="Times New Roman"/>
          <w:szCs w:val="24"/>
          <w:lang w:val="en-US" w:eastAsia="zh-CN"/>
        </w:rPr>
        <w:t>和</w:t>
      </w:r>
      <w:r>
        <w:rPr>
          <w:rFonts w:hint="eastAsia" w:cs="Times New Roman"/>
          <w:szCs w:val="24"/>
        </w:rPr>
        <w:t>编制说明的讨论和修改。</w:t>
      </w:r>
    </w:p>
    <w:p w14:paraId="1214EAB7">
      <w:pPr>
        <w:adjustRightInd w:val="0"/>
        <w:snapToGrid w:val="0"/>
        <w:spacing w:line="240" w:lineRule="auto"/>
        <w:ind w:firstLine="480" w:firstLineChars="200"/>
        <w:rPr>
          <w:rFonts w:cs="Times New Roman"/>
          <w:szCs w:val="24"/>
        </w:rPr>
      </w:pPr>
      <w:bookmarkStart w:id="52" w:name="_Toc67407048"/>
      <w:bookmarkStart w:id="53" w:name="_Toc91173561"/>
      <w:bookmarkStart w:id="54" w:name="_Toc91763193"/>
      <w:bookmarkStart w:id="55" w:name="_Toc69553229"/>
      <w:r>
        <w:rPr>
          <w:rFonts w:hint="eastAsia" w:cs="Times New Roman"/>
          <w:szCs w:val="24"/>
          <w:lang w:val="en-US" w:eastAsia="zh-CN"/>
        </w:rPr>
        <w:t>高苗，</w:t>
      </w:r>
      <w:r>
        <w:rPr>
          <w:rFonts w:hint="eastAsia" w:cs="Times New Roman"/>
          <w:szCs w:val="24"/>
        </w:rPr>
        <w:t>北京工匠生物技术有限公司</w:t>
      </w:r>
      <w:r>
        <w:rPr>
          <w:rFonts w:hint="eastAsia" w:cs="Times New Roman"/>
          <w:szCs w:val="24"/>
          <w:lang w:eastAsia="zh-CN"/>
        </w:rPr>
        <w:t>。</w:t>
      </w:r>
      <w:r>
        <w:rPr>
          <w:rFonts w:hint="eastAsia" w:cs="Times New Roman"/>
          <w:szCs w:val="24"/>
        </w:rPr>
        <w:t>主要负责</w:t>
      </w:r>
      <w:r>
        <w:rPr>
          <w:rFonts w:hint="eastAsia" w:cs="Times New Roman"/>
          <w:szCs w:val="24"/>
          <w:lang w:val="en-US" w:eastAsia="zh-CN"/>
        </w:rPr>
        <w:t>技术设备现场验证、评估报告编写</w:t>
      </w:r>
      <w:r>
        <w:rPr>
          <w:rFonts w:hint="eastAsia" w:cs="Times New Roman"/>
          <w:szCs w:val="24"/>
        </w:rPr>
        <w:t>，参与标准</w:t>
      </w:r>
      <w:r>
        <w:rPr>
          <w:rFonts w:hint="eastAsia" w:cs="Times New Roman"/>
          <w:szCs w:val="24"/>
          <w:lang w:val="en-US" w:eastAsia="zh-CN"/>
        </w:rPr>
        <w:t>文</w:t>
      </w:r>
      <w:r>
        <w:rPr>
          <w:rFonts w:hint="eastAsia" w:cs="Times New Roman"/>
          <w:szCs w:val="24"/>
        </w:rPr>
        <w:t>稿</w:t>
      </w:r>
      <w:r>
        <w:rPr>
          <w:rFonts w:hint="eastAsia" w:cs="Times New Roman"/>
          <w:szCs w:val="24"/>
          <w:lang w:val="en-US" w:eastAsia="zh-CN"/>
        </w:rPr>
        <w:t>和</w:t>
      </w:r>
      <w:r>
        <w:rPr>
          <w:rFonts w:hint="eastAsia" w:cs="Times New Roman"/>
          <w:szCs w:val="24"/>
        </w:rPr>
        <w:t>编制说明的讨论和修改。</w:t>
      </w:r>
    </w:p>
    <w:p w14:paraId="12D485AB">
      <w:pPr>
        <w:pStyle w:val="3"/>
        <w:spacing w:before="156" w:after="156"/>
        <w:ind w:firstLine="482"/>
      </w:pPr>
      <w:bookmarkStart w:id="56" w:name="_Toc1881"/>
      <w:bookmarkStart w:id="57" w:name="_Toc389"/>
      <w:bookmarkStart w:id="58" w:name="_Toc7437"/>
      <w:bookmarkStart w:id="59" w:name="_Toc914"/>
      <w:bookmarkStart w:id="60" w:name="_Toc11563"/>
      <w:bookmarkStart w:id="61" w:name="_Toc2751"/>
      <w:bookmarkStart w:id="62" w:name="_Toc23347"/>
      <w:bookmarkStart w:id="63" w:name="_Toc12691"/>
      <w:bookmarkStart w:id="64" w:name="_Toc14235"/>
      <w:bookmarkStart w:id="65" w:name="_Toc17993"/>
      <w:bookmarkStart w:id="66" w:name="_Toc12844"/>
      <w:bookmarkStart w:id="67" w:name="_Toc16697"/>
      <w:bookmarkStart w:id="68" w:name="_Toc32452"/>
      <w:r>
        <w:rPr>
          <w:rFonts w:hint="eastAsia"/>
        </w:rPr>
        <w:t>（三）起草过程</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15CFCE9">
      <w:pPr>
        <w:adjustRightInd w:val="0"/>
        <w:snapToGrid w:val="0"/>
        <w:spacing w:line="240" w:lineRule="auto"/>
        <w:ind w:firstLine="480" w:firstLineChars="200"/>
        <w:rPr>
          <w:rFonts w:cs="Times New Roman"/>
          <w:szCs w:val="24"/>
        </w:rPr>
      </w:pPr>
      <w:r>
        <w:rPr>
          <w:rFonts w:hint="eastAsia" w:cs="Times New Roman"/>
          <w:szCs w:val="24"/>
        </w:rPr>
        <w:t>为做好标准修订工作，在中国民族卫生协会民族医药卫生标准专业委员会正式发布标准修订立项通知之后，牵头单位组建了编制组，制定了实施方案，明确了任务分工及工作进度，</w:t>
      </w:r>
      <w:r>
        <w:rPr>
          <w:rFonts w:hint="eastAsia" w:cs="Times New Roman"/>
          <w:szCs w:val="24"/>
          <w:lang w:val="en-US" w:eastAsia="zh-CN"/>
        </w:rPr>
        <w:t>组内</w:t>
      </w:r>
      <w:r>
        <w:rPr>
          <w:rFonts w:hint="eastAsia" w:cs="Times New Roman"/>
          <w:szCs w:val="24"/>
        </w:rPr>
        <w:t>召开进度工作会议，及时交流，协作推进，较好地完成了标准修订任务。先后工作召开了5次修订组内工作会议。起草过程如下：</w:t>
      </w:r>
    </w:p>
    <w:p w14:paraId="61006BAC">
      <w:pPr>
        <w:adjustRightInd w:val="0"/>
        <w:snapToGrid w:val="0"/>
        <w:spacing w:line="240" w:lineRule="auto"/>
        <w:ind w:firstLine="480" w:firstLineChars="200"/>
        <w:rPr>
          <w:rFonts w:cs="Times New Roman"/>
          <w:szCs w:val="24"/>
        </w:rPr>
      </w:pPr>
      <w:r>
        <w:rPr>
          <w:rFonts w:hint="eastAsia" w:cs="Times New Roman"/>
          <w:szCs w:val="24"/>
        </w:rPr>
        <w:t>1.标准修订项目立项与任务下达</w:t>
      </w:r>
    </w:p>
    <w:p w14:paraId="129BB661">
      <w:pPr>
        <w:adjustRightInd w:val="0"/>
        <w:snapToGrid w:val="0"/>
        <w:spacing w:line="240" w:lineRule="auto"/>
        <w:ind w:firstLine="480" w:firstLineChars="200"/>
        <w:rPr>
          <w:rFonts w:cs="Times New Roman"/>
          <w:szCs w:val="24"/>
        </w:rPr>
      </w:pPr>
      <w:r>
        <w:rPr>
          <w:rFonts w:hint="eastAsia" w:cs="Times New Roman"/>
          <w:szCs w:val="24"/>
          <w:lang w:val="en-US" w:eastAsia="zh-CN"/>
        </w:rPr>
        <w:t>2025年8月</w:t>
      </w:r>
      <w:r>
        <w:rPr>
          <w:rFonts w:hint="eastAsia" w:cs="Times New Roman"/>
          <w:szCs w:val="24"/>
        </w:rPr>
        <w:t>，中国民族卫生协会民族医药卫生标准专业委员会正式发布标准修订立项。</w:t>
      </w:r>
    </w:p>
    <w:p w14:paraId="6F0CB958">
      <w:pPr>
        <w:adjustRightInd w:val="0"/>
        <w:snapToGrid w:val="0"/>
        <w:spacing w:line="240" w:lineRule="auto"/>
        <w:ind w:firstLine="480" w:firstLineChars="200"/>
        <w:rPr>
          <w:rFonts w:cs="Times New Roman"/>
          <w:szCs w:val="24"/>
        </w:rPr>
      </w:pPr>
      <w:r>
        <w:rPr>
          <w:rFonts w:hint="eastAsia" w:cs="Times New Roman"/>
          <w:szCs w:val="24"/>
        </w:rPr>
        <w:t>2.标准草案编写，形成征求意见稿</w:t>
      </w:r>
    </w:p>
    <w:p w14:paraId="1E85B0B3">
      <w:pPr>
        <w:adjustRightInd w:val="0"/>
        <w:snapToGrid w:val="0"/>
        <w:spacing w:line="240" w:lineRule="auto"/>
        <w:ind w:firstLine="480" w:firstLineChars="200"/>
        <w:rPr>
          <w:rFonts w:cs="Times New Roman"/>
          <w:szCs w:val="24"/>
        </w:rPr>
      </w:pPr>
      <w:r>
        <w:rPr>
          <w:rFonts w:hint="eastAsia" w:cs="Times New Roman"/>
          <w:szCs w:val="24"/>
        </w:rPr>
        <w:t>2025年</w:t>
      </w:r>
      <w:r>
        <w:rPr>
          <w:rFonts w:hint="eastAsia" w:cs="Times New Roman"/>
          <w:szCs w:val="24"/>
          <w:lang w:val="en-US" w:eastAsia="zh-CN"/>
        </w:rPr>
        <w:t>9</w:t>
      </w:r>
      <w:r>
        <w:rPr>
          <w:rFonts w:hint="eastAsia" w:cs="Times New Roman"/>
          <w:szCs w:val="24"/>
        </w:rPr>
        <w:t>月，标准修订工作启动。本标准修订项目负责人组织召开了标准修订启动会，明确了标准修订技术要点，形成了任务分工和实施方案，建立了起草工作群，正式启动本标准修订工作。</w:t>
      </w:r>
    </w:p>
    <w:p w14:paraId="0F1A18E1">
      <w:pPr>
        <w:adjustRightInd w:val="0"/>
        <w:snapToGrid w:val="0"/>
        <w:spacing w:line="240" w:lineRule="auto"/>
        <w:ind w:firstLine="480" w:firstLineChars="200"/>
        <w:rPr>
          <w:rFonts w:cs="Times New Roman"/>
          <w:szCs w:val="24"/>
        </w:rPr>
      </w:pPr>
      <w:r>
        <w:rPr>
          <w:rFonts w:hint="eastAsia" w:cs="Times New Roman"/>
          <w:szCs w:val="24"/>
        </w:rPr>
        <w:t>2025年</w:t>
      </w:r>
      <w:r>
        <w:rPr>
          <w:rFonts w:hint="eastAsia" w:cs="Times New Roman"/>
          <w:szCs w:val="24"/>
          <w:lang w:val="en-US" w:eastAsia="zh-CN"/>
        </w:rPr>
        <w:t>12</w:t>
      </w:r>
      <w:r>
        <w:rPr>
          <w:rFonts w:hint="eastAsia" w:cs="Times New Roman"/>
          <w:szCs w:val="24"/>
        </w:rPr>
        <w:t>月，修订组</w:t>
      </w:r>
      <w:r>
        <w:rPr>
          <w:rFonts w:hint="eastAsia" w:cs="Times New Roman"/>
          <w:szCs w:val="24"/>
          <w:lang w:val="en-US" w:eastAsia="zh-CN"/>
        </w:rPr>
        <w:t>在北京大学</w:t>
      </w:r>
      <w:r>
        <w:rPr>
          <w:rFonts w:hint="eastAsia" w:cs="Times New Roman"/>
          <w:szCs w:val="24"/>
        </w:rPr>
        <w:t>召开组内</w:t>
      </w:r>
      <w:r>
        <w:rPr>
          <w:rFonts w:hint="eastAsia" w:cs="Times New Roman"/>
          <w:szCs w:val="24"/>
          <w:lang w:val="en-US" w:eastAsia="zh-CN"/>
        </w:rPr>
        <w:t>现场</w:t>
      </w:r>
      <w:r>
        <w:rPr>
          <w:rFonts w:hint="eastAsia" w:cs="Times New Roman"/>
          <w:szCs w:val="24"/>
        </w:rPr>
        <w:t>会议，稳步推进工作。编制组完成《静电场采样方法对空气微生物的采集效果评价现场研究</w:t>
      </w:r>
      <w:r>
        <w:rPr>
          <w:rFonts w:hint="eastAsia" w:cs="Times New Roman"/>
          <w:szCs w:val="24"/>
          <w:lang w:val="en-US" w:eastAsia="zh-CN"/>
        </w:rPr>
        <w:t>报告</w:t>
      </w:r>
      <w:r>
        <w:rPr>
          <w:rFonts w:hint="eastAsia" w:cs="Times New Roman"/>
          <w:szCs w:val="24"/>
        </w:rPr>
        <w:t>》。形成标准工作组讨论稿（修改稿）和编制说明初稿。</w:t>
      </w:r>
    </w:p>
    <w:p w14:paraId="5B395370">
      <w:pPr>
        <w:adjustRightInd w:val="0"/>
        <w:snapToGrid w:val="0"/>
        <w:spacing w:line="240" w:lineRule="auto"/>
        <w:ind w:firstLine="480" w:firstLineChars="200"/>
        <w:rPr>
          <w:rFonts w:cs="Times New Roman"/>
          <w:szCs w:val="24"/>
        </w:rPr>
      </w:pPr>
      <w:r>
        <w:rPr>
          <w:rFonts w:hint="eastAsia" w:cs="Times New Roman"/>
          <w:szCs w:val="24"/>
        </w:rPr>
        <w:t>202</w:t>
      </w:r>
      <w:r>
        <w:rPr>
          <w:rFonts w:hint="eastAsia" w:cs="Times New Roman"/>
          <w:szCs w:val="24"/>
          <w:lang w:val="en-US" w:eastAsia="zh-CN"/>
        </w:rPr>
        <w:t>6</w:t>
      </w:r>
      <w:r>
        <w:rPr>
          <w:rFonts w:hint="eastAsia" w:cs="Times New Roman"/>
          <w:szCs w:val="24"/>
        </w:rPr>
        <w:t>年</w:t>
      </w:r>
      <w:r>
        <w:rPr>
          <w:rFonts w:hint="eastAsia" w:cs="Times New Roman"/>
          <w:szCs w:val="24"/>
          <w:lang w:val="en-US" w:eastAsia="zh-CN"/>
        </w:rPr>
        <w:t xml:space="preserve"> </w:t>
      </w:r>
      <w:r>
        <w:rPr>
          <w:rFonts w:hint="eastAsia" w:cs="Times New Roman"/>
          <w:szCs w:val="24"/>
        </w:rPr>
        <w:t>月</w:t>
      </w:r>
      <w:r>
        <w:rPr>
          <w:rFonts w:hint="eastAsia" w:cs="Times New Roman"/>
          <w:szCs w:val="24"/>
          <w:lang w:val="en-US" w:eastAsia="zh-CN"/>
        </w:rPr>
        <w:t xml:space="preserve"> </w:t>
      </w:r>
      <w:r>
        <w:rPr>
          <w:rFonts w:hint="eastAsia" w:cs="Times New Roman"/>
          <w:szCs w:val="24"/>
        </w:rPr>
        <w:t>日，召开专家评审会，广泛征求专家意见。会上针对标准内容逐一讨论，形成工作组讨论稿（征求意见稿）。</w:t>
      </w:r>
    </w:p>
    <w:p w14:paraId="01B019B2">
      <w:pPr>
        <w:adjustRightInd w:val="0"/>
        <w:snapToGrid w:val="0"/>
        <w:spacing w:line="240" w:lineRule="auto"/>
        <w:ind w:firstLine="480" w:firstLineChars="200"/>
        <w:rPr>
          <w:rFonts w:cs="Times New Roman"/>
          <w:szCs w:val="24"/>
        </w:rPr>
      </w:pPr>
      <w:r>
        <w:rPr>
          <w:rFonts w:hint="eastAsia" w:cs="Times New Roman"/>
          <w:szCs w:val="24"/>
        </w:rPr>
        <w:t>202</w:t>
      </w:r>
      <w:r>
        <w:rPr>
          <w:rFonts w:hint="eastAsia" w:cs="Times New Roman"/>
          <w:szCs w:val="24"/>
          <w:lang w:val="en-US" w:eastAsia="zh-CN"/>
        </w:rPr>
        <w:t>6</w:t>
      </w:r>
      <w:r>
        <w:rPr>
          <w:rFonts w:hint="eastAsia" w:cs="Times New Roman"/>
          <w:szCs w:val="24"/>
        </w:rPr>
        <w:t>年</w:t>
      </w:r>
      <w:r>
        <w:rPr>
          <w:rFonts w:hint="eastAsia" w:cs="Times New Roman"/>
          <w:szCs w:val="24"/>
          <w:lang w:val="en-US" w:eastAsia="zh-CN"/>
        </w:rPr>
        <w:t xml:space="preserve"> </w:t>
      </w:r>
      <w:r>
        <w:rPr>
          <w:rFonts w:hint="eastAsia" w:cs="Times New Roman"/>
          <w:szCs w:val="24"/>
        </w:rPr>
        <w:t>月至202</w:t>
      </w:r>
      <w:r>
        <w:rPr>
          <w:rFonts w:hint="eastAsia" w:cs="Times New Roman"/>
          <w:szCs w:val="24"/>
          <w:lang w:val="en-US" w:eastAsia="zh-CN"/>
        </w:rPr>
        <w:t>6</w:t>
      </w:r>
      <w:r>
        <w:rPr>
          <w:rFonts w:hint="eastAsia" w:cs="Times New Roman"/>
          <w:szCs w:val="24"/>
        </w:rPr>
        <w:t>年</w:t>
      </w:r>
      <w:r>
        <w:rPr>
          <w:rFonts w:hint="eastAsia" w:cs="Times New Roman"/>
          <w:szCs w:val="24"/>
          <w:lang w:val="en-US" w:eastAsia="zh-CN"/>
        </w:rPr>
        <w:t xml:space="preserve"> </w:t>
      </w:r>
      <w:r>
        <w:rPr>
          <w:rFonts w:hint="eastAsia" w:cs="Times New Roman"/>
          <w:szCs w:val="24"/>
        </w:rPr>
        <w:t>月，面向社会广泛征求意见。</w:t>
      </w:r>
    </w:p>
    <w:p w14:paraId="2AF5FAC2">
      <w:pPr>
        <w:adjustRightInd w:val="0"/>
        <w:snapToGrid w:val="0"/>
        <w:spacing w:line="240" w:lineRule="auto"/>
        <w:ind w:firstLine="480" w:firstLineChars="200"/>
        <w:rPr>
          <w:rFonts w:cs="Times New Roman"/>
          <w:szCs w:val="24"/>
        </w:rPr>
      </w:pPr>
      <w:r>
        <w:rPr>
          <w:rFonts w:hint="eastAsia" w:cs="Times New Roman"/>
          <w:szCs w:val="24"/>
        </w:rPr>
        <w:t>202</w:t>
      </w:r>
      <w:r>
        <w:rPr>
          <w:rFonts w:hint="eastAsia" w:cs="Times New Roman"/>
          <w:szCs w:val="24"/>
          <w:lang w:val="en-US" w:eastAsia="zh-CN"/>
        </w:rPr>
        <w:t>6</w:t>
      </w:r>
      <w:r>
        <w:rPr>
          <w:rFonts w:hint="eastAsia" w:cs="Times New Roman"/>
          <w:szCs w:val="24"/>
        </w:rPr>
        <w:t>年</w:t>
      </w:r>
      <w:r>
        <w:rPr>
          <w:rFonts w:hint="eastAsia" w:cs="Times New Roman"/>
          <w:szCs w:val="24"/>
          <w:lang w:val="en-US" w:eastAsia="zh-CN"/>
        </w:rPr>
        <w:t>4</w:t>
      </w:r>
      <w:r>
        <w:rPr>
          <w:rFonts w:hint="eastAsia" w:cs="Times New Roman"/>
          <w:szCs w:val="24"/>
        </w:rPr>
        <w:t>月，整理汇总意见，形成报批稿。</w:t>
      </w:r>
    </w:p>
    <w:p w14:paraId="4CA6874F">
      <w:pPr>
        <w:adjustRightInd w:val="0"/>
        <w:snapToGrid w:val="0"/>
        <w:spacing w:line="240" w:lineRule="auto"/>
        <w:ind w:firstLine="480" w:firstLineChars="200"/>
        <w:rPr>
          <w:rFonts w:cs="Times New Roman"/>
          <w:szCs w:val="24"/>
        </w:rPr>
      </w:pPr>
      <w:r>
        <w:rPr>
          <w:rFonts w:hint="eastAsia" w:cs="Times New Roman"/>
          <w:szCs w:val="24"/>
        </w:rPr>
        <w:t>3.征求各有关单位意见，汇总讨论反馈意见</w:t>
      </w:r>
    </w:p>
    <w:p w14:paraId="26352044">
      <w:pPr>
        <w:adjustRightInd w:val="0"/>
        <w:snapToGrid w:val="0"/>
        <w:spacing w:line="240" w:lineRule="auto"/>
        <w:ind w:firstLine="480" w:firstLineChars="200"/>
        <w:rPr>
          <w:rFonts w:cs="Times New Roman"/>
          <w:szCs w:val="24"/>
        </w:rPr>
      </w:pPr>
      <w:r>
        <w:rPr>
          <w:rFonts w:hint="eastAsia" w:cs="Times New Roman"/>
          <w:szCs w:val="24"/>
        </w:rPr>
        <w:t>202</w:t>
      </w:r>
      <w:r>
        <w:rPr>
          <w:rFonts w:hint="eastAsia" w:cs="Times New Roman"/>
          <w:szCs w:val="24"/>
          <w:lang w:val="en-US" w:eastAsia="zh-CN"/>
        </w:rPr>
        <w:t>6</w:t>
      </w:r>
      <w:r>
        <w:rPr>
          <w:rFonts w:hint="eastAsia" w:cs="Times New Roman"/>
          <w:szCs w:val="24"/>
        </w:rPr>
        <w:t>年</w:t>
      </w:r>
      <w:r>
        <w:rPr>
          <w:rFonts w:hint="eastAsia" w:cs="Times New Roman"/>
          <w:szCs w:val="24"/>
          <w:lang w:val="en-US" w:eastAsia="zh-CN"/>
        </w:rPr>
        <w:t>5</w:t>
      </w:r>
      <w:r>
        <w:rPr>
          <w:rFonts w:hint="eastAsia" w:cs="Times New Roman"/>
          <w:szCs w:val="24"/>
        </w:rPr>
        <w:t>月，标准编制组以公开挂网和邮件的方式广泛公开地征求了意见，共征求了</w:t>
      </w:r>
      <w:r>
        <w:rPr>
          <w:rFonts w:hint="eastAsia" w:cs="Times New Roman"/>
          <w:szCs w:val="24"/>
          <w:lang w:val="en-US" w:eastAsia="zh-CN"/>
        </w:rPr>
        <w:t xml:space="preserve"> </w:t>
      </w:r>
      <w:r>
        <w:rPr>
          <w:rFonts w:hint="eastAsia" w:cs="Times New Roman"/>
          <w:szCs w:val="24"/>
        </w:rPr>
        <w:t>家单位和</w:t>
      </w:r>
      <w:r>
        <w:rPr>
          <w:rFonts w:hint="eastAsia" w:cs="Times New Roman"/>
          <w:szCs w:val="24"/>
          <w:lang w:val="en-US" w:eastAsia="zh-CN"/>
        </w:rPr>
        <w:t xml:space="preserve"> </w:t>
      </w:r>
      <w:r>
        <w:rPr>
          <w:rFonts w:hint="eastAsia" w:cs="Times New Roman"/>
          <w:szCs w:val="24"/>
        </w:rPr>
        <w:t>位个人的意见。收到回函</w:t>
      </w:r>
      <w:r>
        <w:rPr>
          <w:rFonts w:hint="eastAsia" w:cs="Times New Roman"/>
          <w:szCs w:val="24"/>
          <w:lang w:val="en-US" w:eastAsia="zh-CN"/>
        </w:rPr>
        <w:t xml:space="preserve"> </w:t>
      </w:r>
      <w:r>
        <w:rPr>
          <w:rFonts w:hint="eastAsia" w:cs="Times New Roman"/>
          <w:szCs w:val="24"/>
        </w:rPr>
        <w:t>份，回函中有意见</w:t>
      </w:r>
      <w:r>
        <w:rPr>
          <w:rFonts w:hint="eastAsia" w:cs="Times New Roman"/>
          <w:szCs w:val="24"/>
          <w:lang w:val="en-US" w:eastAsia="zh-CN"/>
        </w:rPr>
        <w:t xml:space="preserve"> </w:t>
      </w:r>
      <w:r>
        <w:rPr>
          <w:rFonts w:hint="eastAsia" w:cs="Times New Roman"/>
          <w:szCs w:val="24"/>
        </w:rPr>
        <w:t>份，共</w:t>
      </w:r>
      <w:r>
        <w:rPr>
          <w:rFonts w:hint="eastAsia" w:cs="Times New Roman"/>
          <w:szCs w:val="24"/>
          <w:lang w:val="en-US" w:eastAsia="zh-CN"/>
        </w:rPr>
        <w:t xml:space="preserve"> </w:t>
      </w:r>
      <w:r>
        <w:rPr>
          <w:rFonts w:hint="eastAsia" w:cs="Times New Roman"/>
          <w:szCs w:val="24"/>
        </w:rPr>
        <w:t>条，其中</w:t>
      </w:r>
      <w:r>
        <w:rPr>
          <w:rFonts w:hint="eastAsia" w:cs="Times New Roman"/>
          <w:szCs w:val="24"/>
          <w:lang w:val="en-US" w:eastAsia="zh-CN"/>
        </w:rPr>
        <w:t xml:space="preserve"> </w:t>
      </w:r>
      <w:r>
        <w:rPr>
          <w:rFonts w:hint="eastAsia" w:cs="Times New Roman"/>
          <w:szCs w:val="24"/>
        </w:rPr>
        <w:t>条意见已采纳，</w:t>
      </w:r>
      <w:r>
        <w:rPr>
          <w:rFonts w:hint="eastAsia" w:cs="Times New Roman"/>
          <w:szCs w:val="24"/>
          <w:lang w:val="en-US" w:eastAsia="zh-CN"/>
        </w:rPr>
        <w:t xml:space="preserve"> </w:t>
      </w:r>
      <w:r>
        <w:rPr>
          <w:rFonts w:hint="eastAsia" w:cs="Times New Roman"/>
          <w:szCs w:val="24"/>
        </w:rPr>
        <w:t>条意见部分采纳，</w:t>
      </w:r>
      <w:r>
        <w:rPr>
          <w:rFonts w:hint="eastAsia" w:cs="Times New Roman"/>
          <w:szCs w:val="24"/>
          <w:lang w:val="en-US" w:eastAsia="zh-CN"/>
        </w:rPr>
        <w:t xml:space="preserve"> </w:t>
      </w:r>
      <w:r>
        <w:rPr>
          <w:rFonts w:hint="eastAsia" w:cs="Times New Roman"/>
          <w:szCs w:val="24"/>
        </w:rPr>
        <w:t>条意见未采纳；无意见</w:t>
      </w:r>
      <w:r>
        <w:rPr>
          <w:rFonts w:hint="eastAsia" w:cs="Times New Roman"/>
          <w:szCs w:val="24"/>
          <w:lang w:val="en-US" w:eastAsia="zh-CN"/>
        </w:rPr>
        <w:t xml:space="preserve"> </w:t>
      </w:r>
      <w:r>
        <w:rPr>
          <w:rFonts w:hint="eastAsia" w:cs="Times New Roman"/>
          <w:szCs w:val="24"/>
        </w:rPr>
        <w:t>份。</w:t>
      </w:r>
    </w:p>
    <w:p w14:paraId="324868F8">
      <w:pPr>
        <w:adjustRightInd w:val="0"/>
        <w:snapToGrid w:val="0"/>
        <w:spacing w:line="240" w:lineRule="auto"/>
        <w:ind w:firstLine="480" w:firstLineChars="200"/>
        <w:rPr>
          <w:rFonts w:hint="eastAsia" w:cs="Times New Roman"/>
          <w:szCs w:val="24"/>
        </w:rPr>
      </w:pPr>
      <w:r>
        <w:rPr>
          <w:rFonts w:hint="eastAsia" w:cs="Times New Roman"/>
          <w:szCs w:val="24"/>
        </w:rPr>
        <w:t>4.标委会召开专家评审会，根据专家意见再次对标准文本和编制说明进行修改</w:t>
      </w:r>
    </w:p>
    <w:p w14:paraId="14A0F75D">
      <w:pPr>
        <w:pStyle w:val="2"/>
        <w:spacing w:before="0" w:after="0"/>
        <w:rPr>
          <w:sz w:val="28"/>
        </w:rPr>
      </w:pPr>
      <w:bookmarkStart w:id="69" w:name="_Toc25214"/>
      <w:bookmarkStart w:id="70" w:name="_Toc1075"/>
      <w:bookmarkStart w:id="71" w:name="_Toc1889"/>
      <w:bookmarkStart w:id="72" w:name="_Toc4585"/>
      <w:bookmarkStart w:id="73" w:name="_Toc93656996"/>
      <w:bookmarkStart w:id="74" w:name="_Toc22207"/>
      <w:bookmarkStart w:id="75" w:name="_Toc8760"/>
      <w:bookmarkStart w:id="76" w:name="_Toc25482"/>
      <w:bookmarkStart w:id="77" w:name="_Toc20202"/>
      <w:bookmarkStart w:id="78" w:name="_Toc69553238"/>
      <w:bookmarkStart w:id="79" w:name="_Toc16669"/>
      <w:bookmarkStart w:id="80" w:name="_Toc2595"/>
      <w:bookmarkStart w:id="81" w:name="_Toc5647"/>
      <w:bookmarkStart w:id="82" w:name="_Toc9986"/>
      <w:bookmarkStart w:id="83" w:name="_Toc434"/>
      <w:bookmarkStart w:id="84" w:name="_Toc67407051"/>
      <w:bookmarkStart w:id="85" w:name="_Toc69553230"/>
      <w:bookmarkStart w:id="86" w:name="_Toc67407049"/>
      <w:bookmarkStart w:id="87" w:name="_Toc93656994"/>
      <w:r>
        <w:rPr>
          <w:rFonts w:hint="eastAsia"/>
          <w:sz w:val="28"/>
        </w:rPr>
        <w:t>二、与我国有关法律、法规、规章、规范性文件和其他标准的关系</w:t>
      </w:r>
      <w:bookmarkEnd w:id="69"/>
    </w:p>
    <w:p w14:paraId="132E3753">
      <w:pPr>
        <w:adjustRightInd w:val="0"/>
        <w:snapToGrid w:val="0"/>
        <w:spacing w:line="240" w:lineRule="auto"/>
        <w:ind w:firstLine="480" w:firstLineChars="200"/>
        <w:rPr>
          <w:rFonts w:hint="eastAsia" w:cs="Times New Roman"/>
          <w:szCs w:val="24"/>
        </w:rPr>
      </w:pPr>
      <w:r>
        <w:rPr>
          <w:rFonts w:hint="eastAsia" w:cs="Times New Roman"/>
          <w:szCs w:val="24"/>
        </w:rPr>
        <w:t>本</w:t>
      </w:r>
      <w:r>
        <w:rPr>
          <w:rFonts w:hint="eastAsia" w:cs="Times New Roman"/>
          <w:szCs w:val="24"/>
          <w:lang w:val="en-US" w:eastAsia="zh-CN"/>
        </w:rPr>
        <w:t>文件</w:t>
      </w:r>
      <w:r>
        <w:rPr>
          <w:rFonts w:hint="eastAsia" w:cs="Times New Roman"/>
          <w:szCs w:val="24"/>
        </w:rPr>
        <w:t>作为</w:t>
      </w:r>
      <w:r>
        <w:rPr>
          <w:rFonts w:hint="eastAsia" w:cs="Times New Roman"/>
          <w:szCs w:val="24"/>
          <w:lang w:val="en-US" w:eastAsia="zh-CN"/>
        </w:rPr>
        <w:t>团体</w:t>
      </w:r>
      <w:r>
        <w:rPr>
          <w:rFonts w:hint="eastAsia" w:cs="Times New Roman"/>
          <w:szCs w:val="24"/>
        </w:rPr>
        <w:t>标准，编写格式依据《标准化工作导则第1部分：标准化文件的结构和起草规则》（GB/T</w:t>
      </w:r>
      <w:r>
        <w:rPr>
          <w:rFonts w:cs="Times New Roman"/>
          <w:szCs w:val="24"/>
        </w:rPr>
        <w:t xml:space="preserve"> </w:t>
      </w:r>
      <w:r>
        <w:rPr>
          <w:rFonts w:hint="eastAsia" w:cs="Times New Roman"/>
          <w:szCs w:val="24"/>
        </w:rPr>
        <w:t>1.1—2020）给出的规则编写。</w:t>
      </w:r>
    </w:p>
    <w:p w14:paraId="610C6F10">
      <w:pPr>
        <w:adjustRightInd w:val="0"/>
        <w:snapToGrid w:val="0"/>
        <w:spacing w:line="240" w:lineRule="auto"/>
        <w:ind w:firstLine="480" w:firstLineChars="200"/>
        <w:rPr>
          <w:rFonts w:hint="eastAsia" w:cs="Times New Roman"/>
          <w:szCs w:val="24"/>
          <w:highlight w:val="none"/>
        </w:rPr>
      </w:pPr>
      <w:r>
        <w:rPr>
          <w:rFonts w:hint="eastAsia" w:cs="Times New Roman"/>
          <w:szCs w:val="24"/>
          <w:highlight w:val="none"/>
        </w:rPr>
        <w:t>本文件属于技术性团体标准，其制定严格遵守国家现行的《中华人民共和国传染病防治法》、《中华人民共和国生物安全法》及《公共场所卫生管理条例》等法律法规中关于疾病预防控制与生物安全管理的原则性要求。</w:t>
      </w:r>
    </w:p>
    <w:p w14:paraId="51231306">
      <w:pPr>
        <w:adjustRightInd w:val="0"/>
        <w:snapToGrid w:val="0"/>
        <w:spacing w:line="240" w:lineRule="auto"/>
        <w:ind w:firstLine="480" w:firstLineChars="200"/>
        <w:rPr>
          <w:rFonts w:hint="eastAsia" w:cs="Times New Roman"/>
          <w:szCs w:val="24"/>
          <w:highlight w:val="none"/>
        </w:rPr>
      </w:pPr>
      <w:r>
        <w:rPr>
          <w:rFonts w:hint="eastAsia" w:cs="Times New Roman"/>
          <w:szCs w:val="24"/>
          <w:highlight w:val="none"/>
        </w:rPr>
        <w:t>在技术层面，本文件与现行国家标准体系紧密衔接、协调配套，是对现有通用方法的场景化应用：</w:t>
      </w:r>
    </w:p>
    <w:p w14:paraId="7A81935D">
      <w:pPr>
        <w:adjustRightInd w:val="0"/>
        <w:snapToGrid w:val="0"/>
        <w:spacing w:line="240" w:lineRule="auto"/>
        <w:ind w:firstLine="480" w:firstLineChars="200"/>
        <w:rPr>
          <w:rFonts w:hint="eastAsia" w:cs="Times New Roman"/>
          <w:szCs w:val="24"/>
          <w:highlight w:val="none"/>
          <w:lang w:val="en-US" w:eastAsia="zh-CN"/>
        </w:rPr>
      </w:pPr>
      <w:r>
        <w:rPr>
          <w:rFonts w:hint="eastAsia" w:cs="Times New Roman"/>
          <w:szCs w:val="24"/>
          <w:highlight w:val="none"/>
          <w:lang w:val="en-US" w:eastAsia="zh-CN"/>
        </w:rPr>
        <w:t>1.采样技术要求层面：（1）</w:t>
      </w:r>
      <w:r>
        <w:rPr>
          <w:rFonts w:hint="eastAsia" w:cs="Times New Roman"/>
          <w:szCs w:val="24"/>
          <w:highlight w:val="none"/>
        </w:rPr>
        <w:t>本</w:t>
      </w:r>
      <w:r>
        <w:rPr>
          <w:rFonts w:hint="eastAsia" w:cs="Times New Roman"/>
          <w:szCs w:val="24"/>
          <w:highlight w:val="none"/>
          <w:lang w:val="en-US" w:eastAsia="zh-CN"/>
        </w:rPr>
        <w:t>文件</w:t>
      </w:r>
      <w:r>
        <w:rPr>
          <w:rFonts w:hint="eastAsia" w:cs="Times New Roman"/>
          <w:szCs w:val="24"/>
          <w:highlight w:val="none"/>
        </w:rPr>
        <w:t>以GB/T 18204.3《公共场所卫生检验方法 第3部分：空气微生物</w:t>
      </w:r>
      <w:r>
        <w:rPr>
          <w:rFonts w:hint="eastAsia" w:cs="Times New Roman"/>
          <w:szCs w:val="24"/>
          <w:highlight w:val="none"/>
          <w:lang w:eastAsia="zh-CN"/>
        </w:rPr>
        <w:t>》</w:t>
      </w:r>
      <w:r>
        <w:rPr>
          <w:rFonts w:hint="eastAsia" w:cs="Times New Roman"/>
          <w:szCs w:val="24"/>
          <w:highlight w:val="none"/>
        </w:rPr>
        <w:t>为空气微生物检验的通用方法</w:t>
      </w:r>
      <w:r>
        <w:rPr>
          <w:rFonts w:hint="eastAsia" w:cs="Times New Roman"/>
          <w:szCs w:val="24"/>
          <w:highlight w:val="none"/>
          <w:lang w:eastAsia="zh-CN"/>
        </w:rPr>
        <w:t>，</w:t>
      </w:r>
      <w:r>
        <w:rPr>
          <w:rFonts w:hint="eastAsia" w:cs="Times New Roman"/>
          <w:szCs w:val="24"/>
          <w:highlight w:val="none"/>
        </w:rPr>
        <w:t>在采样原则、部分操作流程和质量控制理念上与GB/T 18204.3保持一致</w:t>
      </w:r>
      <w:r>
        <w:rPr>
          <w:rFonts w:hint="eastAsia" w:cs="Times New Roman"/>
          <w:szCs w:val="24"/>
          <w:highlight w:val="none"/>
          <w:lang w:eastAsia="zh-CN"/>
        </w:rPr>
        <w:t>。</w:t>
      </w:r>
      <w:r>
        <w:rPr>
          <w:rFonts w:hint="eastAsia" w:cs="Times New Roman"/>
          <w:szCs w:val="24"/>
          <w:highlight w:val="none"/>
          <w:lang w:val="en-US" w:eastAsia="zh-CN"/>
        </w:rPr>
        <w:t>本文件</w:t>
      </w:r>
      <w:r>
        <w:rPr>
          <w:rFonts w:hint="eastAsia" w:cs="Times New Roman"/>
          <w:szCs w:val="24"/>
          <w:highlight w:val="none"/>
        </w:rPr>
        <w:t>将采样对象从广义的“空气微生物”聚焦于“空气病原体”，并引入了“现场智能采样”这一特定技术模式。</w:t>
      </w:r>
      <w:r>
        <w:rPr>
          <w:rFonts w:hint="eastAsia" w:cs="Times New Roman"/>
          <w:szCs w:val="24"/>
          <w:highlight w:val="none"/>
          <w:lang w:eastAsia="zh-CN"/>
        </w:rPr>
        <w:t>（</w:t>
      </w:r>
      <w:r>
        <w:rPr>
          <w:rFonts w:hint="eastAsia" w:cs="Times New Roman"/>
          <w:szCs w:val="24"/>
          <w:highlight w:val="none"/>
          <w:lang w:val="en-US" w:eastAsia="zh-CN"/>
        </w:rPr>
        <w:t>2</w:t>
      </w:r>
      <w:r>
        <w:rPr>
          <w:rFonts w:hint="eastAsia" w:cs="Times New Roman"/>
          <w:szCs w:val="24"/>
          <w:highlight w:val="none"/>
          <w:lang w:eastAsia="zh-CN"/>
        </w:rPr>
        <w:t>）</w:t>
      </w:r>
      <w:r>
        <w:rPr>
          <w:rFonts w:hint="eastAsia" w:cs="Times New Roman"/>
          <w:szCs w:val="24"/>
          <w:highlight w:val="none"/>
          <w:lang w:val="en-US" w:eastAsia="zh-CN"/>
        </w:rPr>
        <w:t>本文件以</w:t>
      </w:r>
      <w:r>
        <w:rPr>
          <w:rFonts w:hint="eastAsia" w:cs="Times New Roman"/>
          <w:szCs w:val="24"/>
          <w:highlight w:val="none"/>
        </w:rPr>
        <w:t>GB/T 18204.</w:t>
      </w:r>
      <w:r>
        <w:rPr>
          <w:rFonts w:hint="eastAsia" w:cs="Times New Roman"/>
          <w:szCs w:val="24"/>
          <w:highlight w:val="none"/>
          <w:lang w:val="en-US" w:eastAsia="zh-CN"/>
        </w:rPr>
        <w:t>6</w:t>
      </w:r>
      <w:r>
        <w:rPr>
          <w:rFonts w:hint="eastAsia" w:cs="Times New Roman"/>
          <w:szCs w:val="24"/>
          <w:highlight w:val="none"/>
        </w:rPr>
        <w:t>《公共场所卫生检验方法 第</w:t>
      </w:r>
      <w:r>
        <w:rPr>
          <w:rFonts w:hint="eastAsia" w:cs="Times New Roman"/>
          <w:szCs w:val="24"/>
          <w:highlight w:val="none"/>
          <w:lang w:val="en-US" w:eastAsia="zh-CN"/>
        </w:rPr>
        <w:t>6</w:t>
      </w:r>
      <w:r>
        <w:rPr>
          <w:rFonts w:hint="eastAsia" w:cs="Times New Roman"/>
          <w:szCs w:val="24"/>
          <w:highlight w:val="none"/>
        </w:rPr>
        <w:t>部分：卫生监测技术规范</w:t>
      </w:r>
      <w:r>
        <w:rPr>
          <w:rFonts w:hint="eastAsia" w:cs="Times New Roman"/>
          <w:szCs w:val="24"/>
          <w:highlight w:val="none"/>
          <w:lang w:eastAsia="zh-CN"/>
        </w:rPr>
        <w:t>》</w:t>
      </w:r>
      <w:r>
        <w:rPr>
          <w:rFonts w:hint="eastAsia" w:cs="Times New Roman"/>
          <w:szCs w:val="24"/>
          <w:highlight w:val="none"/>
          <w:lang w:val="en-US" w:eastAsia="zh-CN"/>
        </w:rPr>
        <w:t>为采样点布设基本要求，</w:t>
      </w:r>
      <w:r>
        <w:rPr>
          <w:rFonts w:hint="eastAsia" w:cs="Times New Roman"/>
          <w:szCs w:val="24"/>
          <w:highlight w:val="none"/>
          <w:lang w:eastAsia="zh-CN"/>
        </w:rPr>
        <w:t>明确参照</w:t>
      </w:r>
      <w:r>
        <w:rPr>
          <w:rFonts w:hint="eastAsia" w:cs="Times New Roman"/>
          <w:szCs w:val="24"/>
          <w:highlight w:val="none"/>
        </w:rPr>
        <w:t>GB/T 18204.</w:t>
      </w:r>
      <w:r>
        <w:rPr>
          <w:rFonts w:hint="eastAsia" w:cs="Times New Roman"/>
          <w:szCs w:val="24"/>
          <w:highlight w:val="none"/>
          <w:lang w:val="en-US" w:eastAsia="zh-CN"/>
        </w:rPr>
        <w:t>6</w:t>
      </w:r>
      <w:r>
        <w:rPr>
          <w:rFonts w:hint="eastAsia" w:cs="Times New Roman"/>
          <w:szCs w:val="24"/>
          <w:highlight w:val="none"/>
          <w:lang w:eastAsia="zh-CN"/>
        </w:rPr>
        <w:t>监测布点的通用原则，并结合地铁场站的结构和功能特点进行了具体化。（</w:t>
      </w:r>
      <w:r>
        <w:rPr>
          <w:rFonts w:hint="eastAsia" w:cs="Times New Roman"/>
          <w:szCs w:val="24"/>
          <w:highlight w:val="none"/>
          <w:lang w:val="en-US" w:eastAsia="zh-CN"/>
        </w:rPr>
        <w:t>3</w:t>
      </w:r>
      <w:r>
        <w:rPr>
          <w:rFonts w:hint="eastAsia" w:cs="Times New Roman"/>
          <w:szCs w:val="24"/>
          <w:highlight w:val="none"/>
          <w:lang w:eastAsia="zh-CN"/>
        </w:rPr>
        <w:t>）</w:t>
      </w:r>
      <w:r>
        <w:rPr>
          <w:rFonts w:hint="eastAsia" w:cs="Times New Roman"/>
          <w:szCs w:val="24"/>
          <w:highlight w:val="none"/>
          <w:lang w:val="en-US" w:eastAsia="zh-CN"/>
        </w:rPr>
        <w:t>本文件GB/T 18204.5《公共场所卫生检验方法 第5部分：集中空调通风系统》为集中空调通风系统采样的基本方法，地铁场站普遍采用集中空调通风系统。本文件所涉及集中空调通风系统送、回风口的采样，直接按GB/T 18204.5执行，确保了与现行标准的一致性。</w:t>
      </w:r>
    </w:p>
    <w:p w14:paraId="5634494E">
      <w:pPr>
        <w:adjustRightInd w:val="0"/>
        <w:snapToGrid w:val="0"/>
        <w:spacing w:line="240" w:lineRule="auto"/>
        <w:ind w:firstLine="480" w:firstLineChars="200"/>
        <w:rPr>
          <w:rFonts w:hint="default" w:cs="Times New Roman"/>
          <w:szCs w:val="24"/>
          <w:highlight w:val="none"/>
          <w:lang w:val="en-US" w:eastAsia="zh-CN"/>
        </w:rPr>
      </w:pPr>
      <w:r>
        <w:rPr>
          <w:rFonts w:hint="eastAsia" w:cs="Times New Roman"/>
          <w:szCs w:val="24"/>
          <w:highlight w:val="none"/>
          <w:lang w:val="en-US" w:eastAsia="zh-CN"/>
        </w:rPr>
        <w:t>2.安全规范要求层面：本文件要求现场采样的人员防护和废弃物处置必须符合GB 19489《实验室 生物安全通用要求》，这是将现场采样活动纳入国家生物安全管理体系的关键，确保了操作过程的安全底线。</w:t>
      </w:r>
    </w:p>
    <w:p w14:paraId="5C6BA0B8">
      <w:pPr>
        <w:adjustRightInd w:val="0"/>
        <w:snapToGrid w:val="0"/>
        <w:spacing w:line="240" w:lineRule="auto"/>
        <w:ind w:firstLine="480" w:firstLineChars="200"/>
        <w:rPr>
          <w:rFonts w:hint="default" w:cs="Times New Roman"/>
          <w:szCs w:val="24"/>
          <w:highlight w:val="none"/>
          <w:lang w:val="en-US" w:eastAsia="zh-CN"/>
        </w:rPr>
      </w:pPr>
      <w:r>
        <w:rPr>
          <w:rFonts w:hint="eastAsia" w:cs="Times New Roman"/>
          <w:szCs w:val="24"/>
          <w:highlight w:val="none"/>
          <w:lang w:val="en-US" w:eastAsia="zh-CN"/>
        </w:rPr>
        <w:t>3.通则与计量校准要求层面：本文件在采样记录格式等方面参考了GB/T 38517《颗粒 生物气溶胶采样和分析 通则》内容，保证了记录内容的完整性。本文件将JJF 1826《空气微生物采样器校准规范》</w:t>
      </w:r>
      <w:r>
        <w:rPr>
          <w:rFonts w:hint="eastAsia" w:cs="Times New Roman"/>
          <w:szCs w:val="24"/>
          <w:lang w:val="en-US" w:eastAsia="zh-CN"/>
        </w:rPr>
        <w:t>JJF 2304《生物气溶胶采样器校准规范》</w:t>
      </w:r>
      <w:r>
        <w:rPr>
          <w:rFonts w:hint="eastAsia" w:cs="Times New Roman"/>
          <w:szCs w:val="24"/>
          <w:highlight w:val="none"/>
          <w:lang w:val="en-US" w:eastAsia="zh-CN"/>
        </w:rPr>
        <w:t>作为采样器流量校准的直接技术依据，确保了采样数据溯源的准确性和可比性。</w:t>
      </w:r>
    </w:p>
    <w:p w14:paraId="18773BA2">
      <w:pPr>
        <w:adjustRightInd w:val="0"/>
        <w:snapToGrid w:val="0"/>
        <w:spacing w:line="240" w:lineRule="auto"/>
        <w:ind w:firstLine="480" w:firstLineChars="200"/>
        <w:rPr>
          <w:rFonts w:cs="Times New Roman"/>
          <w:szCs w:val="24"/>
          <w:highlight w:val="none"/>
        </w:rPr>
      </w:pPr>
      <w:r>
        <w:rPr>
          <w:rFonts w:hint="eastAsia" w:cs="Times New Roman"/>
          <w:szCs w:val="24"/>
          <w:highlight w:val="none"/>
        </w:rPr>
        <w:t>本</w:t>
      </w:r>
      <w:r>
        <w:rPr>
          <w:rFonts w:hint="eastAsia" w:cs="Times New Roman"/>
          <w:szCs w:val="24"/>
          <w:highlight w:val="none"/>
          <w:lang w:val="en-US" w:eastAsia="zh-CN"/>
        </w:rPr>
        <w:t>文件</w:t>
      </w:r>
      <w:r>
        <w:rPr>
          <w:rFonts w:hint="eastAsia" w:cs="Times New Roman"/>
          <w:szCs w:val="24"/>
          <w:highlight w:val="none"/>
        </w:rPr>
        <w:t>并非替代上述国家标准，而是针对“地铁场站”这一特殊公共场所</w:t>
      </w:r>
      <w:r>
        <w:rPr>
          <w:rFonts w:hint="eastAsia" w:cs="Times New Roman"/>
          <w:szCs w:val="24"/>
          <w:highlight w:val="none"/>
          <w:lang w:val="en-US" w:eastAsia="zh-CN"/>
        </w:rPr>
        <w:t>和</w:t>
      </w:r>
      <w:r>
        <w:rPr>
          <w:rFonts w:hint="eastAsia" w:cs="Times New Roman"/>
          <w:szCs w:val="24"/>
          <w:highlight w:val="none"/>
        </w:rPr>
        <w:t>“静电吸附智能采样”这一特定技术，对现有标准体系形成的有效补充和具体操作指南。与世界卫生组（WHO）、欧盟、美国等其他相近国家标准方法无矛盾之处，与国内相关指引性文件等做到内容协调一致。</w:t>
      </w:r>
    </w:p>
    <w:p w14:paraId="1EA36FCC">
      <w:pPr>
        <w:pStyle w:val="2"/>
        <w:spacing w:before="0" w:after="0"/>
        <w:rPr>
          <w:sz w:val="28"/>
        </w:rPr>
      </w:pPr>
      <w:bookmarkStart w:id="88" w:name="_Toc14215"/>
      <w:bookmarkStart w:id="89" w:name="_Toc19690"/>
      <w:bookmarkStart w:id="90" w:name="_Toc15947"/>
      <w:bookmarkStart w:id="91" w:name="_Toc22348"/>
      <w:bookmarkStart w:id="92" w:name="_Toc890"/>
      <w:bookmarkStart w:id="93" w:name="_Toc8260"/>
      <w:bookmarkStart w:id="94" w:name="_Toc28477"/>
      <w:bookmarkStart w:id="95" w:name="_Toc9803"/>
      <w:bookmarkStart w:id="96" w:name="_Toc67407050"/>
      <w:bookmarkStart w:id="97" w:name="_Toc7826"/>
      <w:bookmarkStart w:id="98" w:name="_Toc18943"/>
      <w:bookmarkStart w:id="99" w:name="_Toc27951"/>
      <w:bookmarkStart w:id="100" w:name="_Toc4442"/>
      <w:bookmarkStart w:id="101" w:name="_Toc93656995"/>
      <w:bookmarkStart w:id="102" w:name="_Toc10252"/>
      <w:bookmarkStart w:id="103" w:name="_Toc69553237"/>
      <w:r>
        <w:rPr>
          <w:rFonts w:hint="eastAsia"/>
          <w:sz w:val="28"/>
          <w:lang w:val="en-US" w:eastAsia="zh-CN"/>
        </w:rPr>
        <w:t>三</w:t>
      </w:r>
      <w:r>
        <w:rPr>
          <w:rFonts w:hint="eastAsia"/>
          <w:sz w:val="28"/>
        </w:rPr>
        <w:t>、</w:t>
      </w:r>
      <w:bookmarkEnd w:id="88"/>
      <w:bookmarkEnd w:id="89"/>
      <w:bookmarkEnd w:id="90"/>
      <w:bookmarkEnd w:id="91"/>
      <w:r>
        <w:rPr>
          <w:rFonts w:hint="eastAsia"/>
          <w:sz w:val="28"/>
        </w:rPr>
        <w:t>国外相关法律、法规、文件和标准情况的对比说明；</w:t>
      </w:r>
      <w:bookmarkEnd w:id="92"/>
    </w:p>
    <w:p w14:paraId="26CF05DF">
      <w:pPr>
        <w:adjustRightInd w:val="0"/>
        <w:snapToGrid w:val="0"/>
        <w:spacing w:line="240" w:lineRule="auto"/>
        <w:ind w:firstLine="480" w:firstLineChars="200"/>
        <w:rPr>
          <w:szCs w:val="24"/>
          <w:highlight w:val="none"/>
        </w:rPr>
      </w:pPr>
      <w:bookmarkStart w:id="104" w:name="_Toc7417"/>
      <w:r>
        <w:rPr>
          <w:rFonts w:hint="eastAsia"/>
          <w:szCs w:val="24"/>
          <w:highlight w:val="none"/>
        </w:rPr>
        <w:t>目前，国际上尚无专门针对“地铁场站空气病原体智能采样”的单一、综合性标准。相关技术要求分散在多个领域：</w:t>
      </w:r>
    </w:p>
    <w:p w14:paraId="52F3EEF6">
      <w:pPr>
        <w:adjustRightInd w:val="0"/>
        <w:snapToGrid w:val="0"/>
        <w:spacing w:line="240" w:lineRule="auto"/>
        <w:ind w:firstLine="480" w:firstLineChars="200"/>
        <w:rPr>
          <w:rFonts w:hint="eastAsia"/>
          <w:szCs w:val="24"/>
          <w:highlight w:val="none"/>
        </w:rPr>
      </w:pPr>
      <w:r>
        <w:rPr>
          <w:rFonts w:hint="eastAsia"/>
          <w:szCs w:val="24"/>
          <w:highlight w:val="none"/>
        </w:rPr>
        <w:t>空气生物气溶胶采样标准：欧洲标准化委员会</w:t>
      </w:r>
      <w:r>
        <w:rPr>
          <w:rFonts w:hint="eastAsia"/>
          <w:szCs w:val="24"/>
          <w:highlight w:val="none"/>
          <w:lang w:val="en-US" w:eastAsia="zh-CN"/>
        </w:rPr>
        <w:t>的</w:t>
      </w:r>
      <w:r>
        <w:rPr>
          <w:rFonts w:hint="eastAsia"/>
          <w:szCs w:val="24"/>
          <w:highlight w:val="none"/>
        </w:rPr>
        <w:t>EN 17359-2020</w:t>
      </w:r>
      <w:r>
        <w:rPr>
          <w:rFonts w:hint="eastAsia"/>
          <w:szCs w:val="24"/>
          <w:highlight w:val="none"/>
          <w:lang w:eastAsia="zh-CN"/>
        </w:rPr>
        <w:t>（</w:t>
      </w:r>
      <w:r>
        <w:rPr>
          <w:rFonts w:hint="eastAsia"/>
          <w:szCs w:val="24"/>
          <w:highlight w:val="none"/>
        </w:rPr>
        <w:t>固定源排放</w:t>
      </w:r>
      <w:r>
        <w:rPr>
          <w:rFonts w:hint="eastAsia"/>
          <w:szCs w:val="24"/>
          <w:highlight w:val="none"/>
          <w:lang w:val="en-US" w:eastAsia="zh-CN"/>
        </w:rPr>
        <w:t xml:space="preserve"> </w:t>
      </w:r>
      <w:r>
        <w:rPr>
          <w:rFonts w:hint="eastAsia"/>
          <w:szCs w:val="24"/>
          <w:highlight w:val="none"/>
        </w:rPr>
        <w:t>生物气溶胶和生物制剂</w:t>
      </w:r>
      <w:r>
        <w:rPr>
          <w:rFonts w:hint="eastAsia"/>
          <w:szCs w:val="24"/>
          <w:highlight w:val="none"/>
          <w:lang w:val="en-US" w:eastAsia="zh-CN"/>
        </w:rPr>
        <w:t xml:space="preserve"> </w:t>
      </w:r>
      <w:r>
        <w:rPr>
          <w:rFonts w:hint="eastAsia"/>
          <w:szCs w:val="24"/>
          <w:highlight w:val="none"/>
        </w:rPr>
        <w:t>生物气溶胶的取样和液体中的收集</w:t>
      </w:r>
      <w:r>
        <w:rPr>
          <w:rFonts w:hint="eastAsia"/>
          <w:szCs w:val="24"/>
          <w:highlight w:val="none"/>
          <w:lang w:val="en-US" w:eastAsia="zh-CN"/>
        </w:rPr>
        <w:t xml:space="preserve"> </w:t>
      </w:r>
      <w:r>
        <w:rPr>
          <w:rFonts w:hint="eastAsia"/>
          <w:szCs w:val="24"/>
          <w:highlight w:val="none"/>
        </w:rPr>
        <w:t>冲击法</w:t>
      </w:r>
      <w:r>
        <w:rPr>
          <w:rFonts w:hint="eastAsia"/>
          <w:szCs w:val="24"/>
          <w:highlight w:val="none"/>
          <w:lang w:eastAsia="zh-CN"/>
        </w:rPr>
        <w:t>）、UNI EN 14583:2022（工作场所暴露</w:t>
      </w:r>
      <w:r>
        <w:rPr>
          <w:rFonts w:hint="eastAsia"/>
          <w:szCs w:val="24"/>
          <w:highlight w:val="none"/>
          <w:lang w:val="en-US" w:eastAsia="zh-CN"/>
        </w:rPr>
        <w:t xml:space="preserve"> </w:t>
      </w:r>
      <w:r>
        <w:rPr>
          <w:rFonts w:hint="eastAsia"/>
          <w:szCs w:val="24"/>
          <w:highlight w:val="none"/>
          <w:lang w:eastAsia="zh-CN"/>
        </w:rPr>
        <w:t>生物气溶胶采样器 一般要求和性能评估）</w:t>
      </w:r>
      <w:r>
        <w:rPr>
          <w:rFonts w:hint="eastAsia"/>
          <w:szCs w:val="24"/>
          <w:highlight w:val="none"/>
        </w:rPr>
        <w:t>等标准提供了关于生物气溶胶采样</w:t>
      </w:r>
      <w:r>
        <w:rPr>
          <w:rFonts w:hint="eastAsia"/>
          <w:szCs w:val="24"/>
          <w:highlight w:val="none"/>
          <w:lang w:val="en-US" w:eastAsia="zh-CN"/>
        </w:rPr>
        <w:t>方法、采样</w:t>
      </w:r>
      <w:r>
        <w:rPr>
          <w:rFonts w:hint="eastAsia"/>
          <w:szCs w:val="24"/>
          <w:highlight w:val="none"/>
        </w:rPr>
        <w:t>器性能评估的</w:t>
      </w:r>
      <w:r>
        <w:rPr>
          <w:rFonts w:hint="eastAsia"/>
          <w:szCs w:val="24"/>
          <w:highlight w:val="none"/>
          <w:lang w:val="en-US" w:eastAsia="zh-CN"/>
        </w:rPr>
        <w:t>方和验证程序</w:t>
      </w:r>
      <w:r>
        <w:rPr>
          <w:rFonts w:hint="eastAsia"/>
          <w:szCs w:val="24"/>
          <w:highlight w:val="none"/>
          <w:lang w:eastAsia="zh-CN"/>
        </w:rPr>
        <w:t>，</w:t>
      </w:r>
      <w:r>
        <w:rPr>
          <w:rFonts w:hint="eastAsia"/>
          <w:szCs w:val="24"/>
          <w:highlight w:val="none"/>
        </w:rPr>
        <w:t>国际标准化组织（ISO）</w:t>
      </w:r>
      <w:r>
        <w:rPr>
          <w:rFonts w:hint="eastAsia"/>
          <w:szCs w:val="24"/>
          <w:highlight w:val="none"/>
          <w:lang w:val="en-US" w:eastAsia="zh-CN"/>
        </w:rPr>
        <w:t>发布职业</w:t>
      </w:r>
      <w:r>
        <w:rPr>
          <w:rFonts w:hint="eastAsia"/>
          <w:szCs w:val="24"/>
          <w:highlight w:val="none"/>
        </w:rPr>
        <w:t>环境中生物气溶胶的指南（ISO 16000</w:t>
      </w:r>
      <w:r>
        <w:rPr>
          <w:rFonts w:hint="eastAsia"/>
          <w:szCs w:val="24"/>
          <w:highlight w:val="none"/>
          <w:lang w:val="en-US" w:eastAsia="zh-CN"/>
        </w:rPr>
        <w:t>-28</w:t>
      </w:r>
      <w:r>
        <w:rPr>
          <w:rFonts w:hint="eastAsia"/>
          <w:szCs w:val="24"/>
          <w:highlight w:val="none"/>
        </w:rPr>
        <w:t>）。相较之下，本文件不仅规定了采样器性能（如静电吸附原理、流量、灵敏度），更系统集成了物联网、智能传感、远程控制等现代技术，并完整规定了从现场调查到智能报告的全流程，技术集成度和场景针对性更强。</w:t>
      </w:r>
    </w:p>
    <w:p w14:paraId="3457218C">
      <w:pPr>
        <w:adjustRightInd w:val="0"/>
        <w:snapToGrid w:val="0"/>
        <w:spacing w:line="240" w:lineRule="auto"/>
        <w:ind w:firstLine="480" w:firstLineChars="200"/>
        <w:rPr>
          <w:rFonts w:hint="eastAsia"/>
          <w:szCs w:val="24"/>
          <w:highlight w:val="none"/>
        </w:rPr>
      </w:pPr>
      <w:r>
        <w:rPr>
          <w:rFonts w:hint="eastAsia"/>
          <w:szCs w:val="24"/>
          <w:highlight w:val="none"/>
        </w:rPr>
        <w:t>公共场所/交通枢纽卫生指南：美国供暖、制冷与空调工程师学会（ASHRAE）手册、世界卫生组织（WHO）的室内空气质量指南等文件提供了公共</w:t>
      </w:r>
      <w:r>
        <w:rPr>
          <w:rFonts w:hint="eastAsia"/>
          <w:szCs w:val="24"/>
          <w:highlight w:val="none"/>
          <w:lang w:val="en-US" w:eastAsia="zh-CN"/>
        </w:rPr>
        <w:t>建筑场所</w:t>
      </w:r>
      <w:r>
        <w:rPr>
          <w:rFonts w:hint="eastAsia"/>
          <w:szCs w:val="24"/>
          <w:highlight w:val="none"/>
        </w:rPr>
        <w:t>通风和感染控制的通用建议，但未涉及具体的病原体现场智能采样操作规程。本文件提供了可直接落地的技术方案。</w:t>
      </w:r>
    </w:p>
    <w:p w14:paraId="6D88BA7C">
      <w:pPr>
        <w:adjustRightInd w:val="0"/>
        <w:snapToGrid w:val="0"/>
        <w:spacing w:line="240" w:lineRule="auto"/>
        <w:ind w:firstLine="480" w:firstLineChars="200"/>
        <w:rPr>
          <w:rFonts w:hint="eastAsia"/>
          <w:szCs w:val="24"/>
          <w:highlight w:val="none"/>
        </w:rPr>
      </w:pPr>
      <w:r>
        <w:rPr>
          <w:rFonts w:hint="eastAsia"/>
          <w:szCs w:val="24"/>
          <w:highlight w:val="none"/>
        </w:rPr>
        <w:t>行业</w:t>
      </w:r>
      <w:r>
        <w:rPr>
          <w:rFonts w:hint="eastAsia"/>
          <w:szCs w:val="24"/>
          <w:highlight w:val="none"/>
          <w:lang w:val="en-US" w:eastAsia="zh-CN"/>
        </w:rPr>
        <w:t>监测</w:t>
      </w:r>
      <w:r>
        <w:rPr>
          <w:rFonts w:hint="eastAsia"/>
          <w:szCs w:val="24"/>
          <w:highlight w:val="none"/>
        </w:rPr>
        <w:t>：部分发达国家的地铁运营方或公共卫生机构可能内部制定运维期间的空气质量监测方案，但通常不对外公开或未形成统一标准。本文件的制定，旨在填补这一领域的标准空白，为全球城市轨道交通的公共卫生风险监测提供一个先进的、可复制的技术框架。</w:t>
      </w:r>
    </w:p>
    <w:p w14:paraId="2E4B4916">
      <w:pPr>
        <w:adjustRightInd w:val="0"/>
        <w:snapToGrid w:val="0"/>
        <w:spacing w:line="240" w:lineRule="auto"/>
        <w:ind w:firstLine="480" w:firstLineChars="200"/>
        <w:rPr>
          <w:szCs w:val="24"/>
          <w:highlight w:val="none"/>
        </w:rPr>
      </w:pPr>
      <w:r>
        <w:rPr>
          <w:rFonts w:hint="eastAsia"/>
          <w:szCs w:val="24"/>
          <w:highlight w:val="none"/>
        </w:rPr>
        <w:t>综上，本文件在技术理念上与国外先进实践接轨，在内容系统性和技术集成度上具有一定先进性，并紧密结合了中国地铁高客流量、高密度运营的实际情况，具有鲜明的特色和应用价值。</w:t>
      </w:r>
    </w:p>
    <w:bookmarkEnd w:id="93"/>
    <w:bookmarkEnd w:id="94"/>
    <w:bookmarkEnd w:id="95"/>
    <w:bookmarkEnd w:id="96"/>
    <w:bookmarkEnd w:id="97"/>
    <w:bookmarkEnd w:id="98"/>
    <w:bookmarkEnd w:id="99"/>
    <w:bookmarkEnd w:id="100"/>
    <w:bookmarkEnd w:id="101"/>
    <w:bookmarkEnd w:id="102"/>
    <w:bookmarkEnd w:id="103"/>
    <w:bookmarkEnd w:id="104"/>
    <w:p w14:paraId="0D6559AA">
      <w:pPr>
        <w:pStyle w:val="2"/>
        <w:spacing w:before="0" w:after="0"/>
        <w:rPr>
          <w:sz w:val="28"/>
        </w:rPr>
      </w:pPr>
      <w:bookmarkStart w:id="105" w:name="_Toc16775"/>
      <w:r>
        <w:rPr>
          <w:rFonts w:hint="eastAsia"/>
          <w:sz w:val="28"/>
          <w:lang w:val="en-US" w:eastAsia="zh-CN"/>
        </w:rPr>
        <w:t>四、标准的制定、修订与起草原则</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105"/>
    </w:p>
    <w:p w14:paraId="6EDD8FCE">
      <w:pPr>
        <w:adjustRightInd w:val="0"/>
        <w:snapToGrid w:val="0"/>
        <w:spacing w:line="240" w:lineRule="auto"/>
        <w:ind w:firstLine="480" w:firstLineChars="200"/>
        <w:rPr>
          <w:rFonts w:hint="eastAsia" w:cs="Times New Roman"/>
          <w:szCs w:val="24"/>
          <w:lang w:val="en-US" w:eastAsia="zh-CN"/>
        </w:rPr>
      </w:pPr>
      <w:bookmarkStart w:id="106" w:name="_Toc67407052"/>
      <w:bookmarkStart w:id="107" w:name="_Toc69553239"/>
      <w:bookmarkStart w:id="108" w:name="_Toc91173572"/>
      <w:r>
        <w:rPr>
          <w:rFonts w:hint="eastAsia" w:cs="Times New Roman"/>
          <w:szCs w:val="24"/>
          <w:lang w:val="en-US" w:eastAsia="zh-CN"/>
        </w:rPr>
        <w:t>本文件的制定遵循以下原则：</w:t>
      </w:r>
    </w:p>
    <w:p w14:paraId="11551662">
      <w:pPr>
        <w:adjustRightInd w:val="0"/>
        <w:snapToGrid w:val="0"/>
        <w:spacing w:line="240" w:lineRule="auto"/>
        <w:ind w:firstLine="480" w:firstLineChars="200"/>
        <w:rPr>
          <w:rFonts w:hint="eastAsia" w:eastAsia="仿宋" w:cs="Times New Roman"/>
          <w:szCs w:val="24"/>
          <w:lang w:val="en-US" w:eastAsia="zh-CN"/>
        </w:rPr>
      </w:pPr>
      <w:r>
        <w:rPr>
          <w:rFonts w:cs="Times New Roman"/>
          <w:szCs w:val="24"/>
        </w:rPr>
        <w:t>1.</w:t>
      </w:r>
      <w:r>
        <w:rPr>
          <w:rFonts w:hint="eastAsia" w:cs="Times New Roman"/>
          <w:szCs w:val="24"/>
        </w:rPr>
        <w:t>先进性</w:t>
      </w:r>
      <w:r>
        <w:rPr>
          <w:rFonts w:hint="eastAsia" w:cs="Times New Roman"/>
          <w:szCs w:val="24"/>
          <w:lang w:val="en-US" w:eastAsia="zh-CN"/>
        </w:rPr>
        <w:t>与</w:t>
      </w:r>
      <w:r>
        <w:rPr>
          <w:rFonts w:hint="eastAsia" w:cs="Times New Roman"/>
          <w:szCs w:val="24"/>
        </w:rPr>
        <w:t>科学性：</w:t>
      </w:r>
      <w:r>
        <w:rPr>
          <w:rFonts w:hint="eastAsia" w:cs="Times New Roman"/>
          <w:szCs w:val="24"/>
          <w:lang w:val="en-US" w:eastAsia="zh-CN"/>
        </w:rPr>
        <w:t>本文件</w:t>
      </w:r>
      <w:r>
        <w:rPr>
          <w:rFonts w:hint="eastAsia" w:cs="Times New Roman"/>
          <w:szCs w:val="24"/>
        </w:rPr>
        <w:t>以环境科学、微生物学、流体力学和物联网技术为理论基础，采纳静电吸附、智能传感、无线传输等先进技术，</w:t>
      </w:r>
      <w:r>
        <w:rPr>
          <w:rFonts w:hint="eastAsia" w:cs="Times New Roman"/>
          <w:szCs w:val="24"/>
          <w:lang w:val="en-US" w:eastAsia="zh-CN"/>
        </w:rPr>
        <w:t>结合现场技术比对数据，</w:t>
      </w:r>
      <w:r>
        <w:rPr>
          <w:rFonts w:hint="eastAsia" w:cs="Times New Roman"/>
          <w:szCs w:val="24"/>
        </w:rPr>
        <w:t>确保技术内容的</w:t>
      </w:r>
      <w:r>
        <w:rPr>
          <w:rFonts w:hint="eastAsia" w:cs="Times New Roman"/>
          <w:szCs w:val="24"/>
          <w:lang w:val="en-US" w:eastAsia="zh-CN"/>
        </w:rPr>
        <w:t>先进</w:t>
      </w:r>
      <w:r>
        <w:rPr>
          <w:rFonts w:hint="eastAsia" w:cs="Times New Roman"/>
          <w:szCs w:val="24"/>
        </w:rPr>
        <w:t>性</w:t>
      </w:r>
      <w:r>
        <w:rPr>
          <w:rFonts w:hint="eastAsia" w:cs="Times New Roman"/>
          <w:szCs w:val="24"/>
          <w:lang w:val="en-US" w:eastAsia="zh-CN"/>
        </w:rPr>
        <w:t>和科学性</w:t>
      </w:r>
      <w:r>
        <w:rPr>
          <w:rFonts w:hint="eastAsia" w:cs="Times New Roman"/>
          <w:szCs w:val="24"/>
          <w:lang w:eastAsia="zh-CN"/>
        </w:rPr>
        <w:t>。</w:t>
      </w:r>
    </w:p>
    <w:p w14:paraId="41D3B63D">
      <w:pPr>
        <w:adjustRightInd w:val="0"/>
        <w:snapToGrid w:val="0"/>
        <w:spacing w:line="240" w:lineRule="auto"/>
        <w:ind w:firstLine="480" w:firstLineChars="200"/>
        <w:rPr>
          <w:rFonts w:cs="Times New Roman"/>
          <w:szCs w:val="24"/>
        </w:rPr>
      </w:pPr>
      <w:r>
        <w:rPr>
          <w:rFonts w:cs="Times New Roman"/>
          <w:szCs w:val="24"/>
        </w:rPr>
        <w:t>2.</w:t>
      </w:r>
      <w:r>
        <w:rPr>
          <w:rFonts w:hint="eastAsia" w:cs="Times New Roman"/>
          <w:szCs w:val="24"/>
        </w:rPr>
        <w:t>适用性与可操作性：紧密围绕地铁场站空间结构复杂、客流动态变化、通风系统依赖性强等特点，设计针对性的采样布点、质量控制和记录要求。条款规定明确、步骤清晰，便于检测机构和运营单位实施。</w:t>
      </w:r>
    </w:p>
    <w:p w14:paraId="762D1D39">
      <w:pPr>
        <w:adjustRightInd w:val="0"/>
        <w:snapToGrid w:val="0"/>
        <w:spacing w:line="240" w:lineRule="auto"/>
        <w:ind w:firstLine="480" w:firstLineChars="200"/>
        <w:rPr>
          <w:rFonts w:cs="Times New Roman"/>
          <w:szCs w:val="24"/>
        </w:rPr>
      </w:pPr>
      <w:r>
        <w:rPr>
          <w:rFonts w:cs="Times New Roman"/>
          <w:szCs w:val="24"/>
        </w:rPr>
        <w:t>3.</w:t>
      </w:r>
      <w:r>
        <w:rPr>
          <w:rFonts w:hint="eastAsia" w:cs="Times New Roman"/>
          <w:szCs w:val="24"/>
        </w:rPr>
        <w:t>协调性与规范性：与我国现行的公共卫生、生物安全、计量校准等国家标准体系充分协调，引用其核心要求，确保与国家现行法规标准体系的一致性。</w:t>
      </w:r>
    </w:p>
    <w:p w14:paraId="7CF85C53">
      <w:pPr>
        <w:pStyle w:val="2"/>
        <w:spacing w:before="0" w:after="0"/>
        <w:rPr>
          <w:rFonts w:hint="default"/>
          <w:sz w:val="28"/>
          <w:lang w:val="en-US" w:eastAsia="zh-CN"/>
        </w:rPr>
      </w:pPr>
      <w:bookmarkStart w:id="109" w:name="_Toc5970"/>
      <w:r>
        <w:rPr>
          <w:rFonts w:hint="eastAsia"/>
          <w:sz w:val="28"/>
          <w:lang w:val="en-US" w:eastAsia="zh-CN"/>
        </w:rPr>
        <w:t>五、确定各项技术内容（如技术指标、参数、公式、试验方法、检验规则等）的依据</w:t>
      </w:r>
      <w:bookmarkEnd w:id="109"/>
    </w:p>
    <w:p w14:paraId="25B313FE">
      <w:pPr>
        <w:pStyle w:val="3"/>
        <w:spacing w:before="156" w:after="156" w:line="240" w:lineRule="auto"/>
        <w:ind w:firstLine="482"/>
        <w:rPr>
          <w:b w:val="0"/>
          <w:bCs w:val="0"/>
        </w:rPr>
      </w:pPr>
      <w:bookmarkStart w:id="110" w:name="_Toc3438"/>
      <w:bookmarkStart w:id="111" w:name="_Toc19792"/>
      <w:bookmarkStart w:id="112" w:name="_Toc2923"/>
      <w:bookmarkStart w:id="113" w:name="_Toc31145"/>
      <w:bookmarkStart w:id="114" w:name="_Toc19427"/>
      <w:bookmarkStart w:id="115" w:name="_Toc6994"/>
      <w:bookmarkStart w:id="116" w:name="_Toc30315"/>
      <w:bookmarkStart w:id="117" w:name="_Toc25991"/>
      <w:bookmarkStart w:id="118" w:name="_Toc10664"/>
      <w:bookmarkStart w:id="119" w:name="_Toc4702"/>
      <w:bookmarkStart w:id="120" w:name="_Toc384"/>
      <w:r>
        <w:rPr>
          <w:rFonts w:hint="eastAsia"/>
        </w:rPr>
        <w:t>（</w:t>
      </w:r>
      <w:r>
        <w:rPr>
          <w:rFonts w:hint="eastAsia"/>
          <w:lang w:val="en-US" w:eastAsia="zh-CN"/>
        </w:rPr>
        <w:t>一</w:t>
      </w:r>
      <w:r>
        <w:rPr>
          <w:rFonts w:hint="eastAsia"/>
        </w:rPr>
        <w:t>）技术要求的</w:t>
      </w:r>
      <w:r>
        <w:rPr>
          <w:rFonts w:hint="eastAsia"/>
          <w:lang w:val="en-US" w:eastAsia="zh-CN"/>
        </w:rPr>
        <w:t>编制</w:t>
      </w:r>
      <w:r>
        <w:rPr>
          <w:rFonts w:hint="eastAsia"/>
        </w:rPr>
        <w:t>依据</w:t>
      </w:r>
      <w:bookmarkEnd w:id="110"/>
      <w:bookmarkEnd w:id="111"/>
      <w:bookmarkEnd w:id="112"/>
      <w:bookmarkEnd w:id="113"/>
      <w:bookmarkEnd w:id="114"/>
      <w:bookmarkEnd w:id="115"/>
      <w:bookmarkEnd w:id="116"/>
      <w:bookmarkEnd w:id="117"/>
      <w:bookmarkEnd w:id="118"/>
      <w:bookmarkEnd w:id="119"/>
      <w:bookmarkEnd w:id="120"/>
    </w:p>
    <w:p w14:paraId="360B8F5A">
      <w:pPr>
        <w:pStyle w:val="4"/>
        <w:bidi w:val="0"/>
        <w:rPr>
          <w:rFonts w:hint="eastAsia"/>
          <w:lang w:val="en-US" w:eastAsia="zh-CN"/>
        </w:rPr>
      </w:pPr>
      <w:bookmarkStart w:id="121" w:name="_Toc4006"/>
      <w:bookmarkStart w:id="122" w:name="_Toc17129"/>
      <w:r>
        <w:rPr>
          <w:rFonts w:hint="eastAsia"/>
          <w:lang w:val="en-US" w:eastAsia="zh-CN"/>
        </w:rPr>
        <w:t>1.范围</w:t>
      </w:r>
      <w:bookmarkEnd w:id="121"/>
    </w:p>
    <w:p w14:paraId="7E962902">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本文件规定了地铁场站室内空气中病原体的现场智能采样、样本包装运输保存、质量控制和采样记录报告等技术要求。</w:t>
      </w:r>
    </w:p>
    <w:p w14:paraId="6F16444A">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本文件适用于地铁站厅、站台、通道、设备管理区等封闭或半封闭空间空气中病原体的采样，其他轨道交通场站及类似交通枢纽可参考使用。涉及集中空调通风系统的采样，还应符合相关规范要求。</w:t>
      </w:r>
    </w:p>
    <w:p w14:paraId="0AB3F12F">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09A476E2">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明确本文件适用于地铁站厅、站台、通道、设备管理区等封闭或半封闭空间，是基于地铁作为典型的高密度、半封闭公共交通建筑的流行病学</w:t>
      </w:r>
      <w:r>
        <w:rPr>
          <w:rFonts w:hint="eastAsia" w:cs="Times New Roman"/>
          <w:szCs w:val="24"/>
          <w:lang w:val="en-US" w:eastAsia="zh-CN"/>
        </w:rPr>
        <w:t>与环境健康</w:t>
      </w:r>
      <w:r>
        <w:rPr>
          <w:rFonts w:hint="default" w:cs="Times New Roman"/>
          <w:szCs w:val="24"/>
          <w:lang w:val="en-US" w:eastAsia="zh-CN"/>
        </w:rPr>
        <w:t>风险特征</w:t>
      </w:r>
      <w:r>
        <w:rPr>
          <w:rFonts w:hint="eastAsia" w:cs="Times New Roman"/>
          <w:szCs w:val="24"/>
          <w:lang w:val="en-US" w:eastAsia="zh-CN"/>
        </w:rPr>
        <w:t>，地铁候车室、车厢等</w:t>
      </w:r>
      <w:r>
        <w:rPr>
          <w:rFonts w:hint="default" w:cs="Times New Roman"/>
          <w:szCs w:val="24"/>
          <w:lang w:val="en-US" w:eastAsia="zh-CN"/>
        </w:rPr>
        <w:t>环境是呼吸道传染病潜在传播的高风险场所</w:t>
      </w:r>
      <w:r>
        <w:rPr>
          <w:rStyle w:val="32"/>
          <w:rFonts w:hint="default" w:cs="Times New Roman"/>
          <w:szCs w:val="24"/>
          <w:lang w:val="en-US" w:eastAsia="zh-CN"/>
        </w:rPr>
        <w:t>[</w:t>
      </w:r>
      <w:r>
        <w:rPr>
          <w:rStyle w:val="32"/>
          <w:rFonts w:hint="default" w:cs="Times New Roman"/>
          <w:szCs w:val="24"/>
          <w:lang w:val="en-US" w:eastAsia="zh-CN"/>
        </w:rPr>
        <w:footnoteReference w:id="0"/>
      </w:r>
      <w:r>
        <w:rPr>
          <w:rStyle w:val="32"/>
          <w:rFonts w:hint="default" w:cs="Times New Roman"/>
          <w:szCs w:val="24"/>
          <w:lang w:val="en-US" w:eastAsia="zh-CN"/>
        </w:rPr>
        <w:t>]</w:t>
      </w:r>
      <w:r>
        <w:rPr>
          <w:rFonts w:hint="default" w:cs="Times New Roman"/>
          <w:szCs w:val="24"/>
          <w:lang w:val="en-US" w:eastAsia="zh-CN"/>
        </w:rPr>
        <w:t>。将“集中空调通风系统”的采样排除在外，是因为该系统内部采样有专门的</w:t>
      </w:r>
      <w:r>
        <w:rPr>
          <w:rFonts w:hint="eastAsia" w:cs="Times New Roman"/>
          <w:szCs w:val="24"/>
          <w:lang w:val="en-US" w:eastAsia="zh-CN"/>
        </w:rPr>
        <w:t>国家标准</w:t>
      </w:r>
      <w:r>
        <w:rPr>
          <w:rFonts w:hint="default" w:cs="Times New Roman"/>
          <w:szCs w:val="24"/>
          <w:lang w:val="en-US" w:eastAsia="zh-CN"/>
        </w:rPr>
        <w:t>GB/T 18204.5《公共场所卫生检验方法 第5部分：集中空调通风系统》进行规范，本文件侧重于</w:t>
      </w:r>
      <w:r>
        <w:rPr>
          <w:rFonts w:hint="eastAsia" w:cs="Times New Roman"/>
          <w:szCs w:val="24"/>
          <w:lang w:val="en-US" w:eastAsia="zh-CN"/>
        </w:rPr>
        <w:t>地铁场站</w:t>
      </w:r>
      <w:r>
        <w:rPr>
          <w:rFonts w:hint="default" w:cs="Times New Roman"/>
          <w:szCs w:val="24"/>
          <w:lang w:val="en-US" w:eastAsia="zh-CN"/>
        </w:rPr>
        <w:t>公共区域空气的现场采样。</w:t>
      </w:r>
    </w:p>
    <w:p w14:paraId="1C39ACC6">
      <w:pPr>
        <w:pStyle w:val="4"/>
        <w:bidi w:val="0"/>
        <w:rPr>
          <w:rFonts w:hint="eastAsia"/>
          <w:lang w:val="en-US" w:eastAsia="zh-CN"/>
        </w:rPr>
      </w:pPr>
      <w:bookmarkStart w:id="123" w:name="_Toc15459"/>
      <w:r>
        <w:rPr>
          <w:rFonts w:hint="eastAsia"/>
          <w:lang w:val="en-US" w:eastAsia="zh-CN"/>
        </w:rPr>
        <w:t>2.规范性引用文件</w:t>
      </w:r>
      <w:bookmarkEnd w:id="123"/>
    </w:p>
    <w:p w14:paraId="3EF1E3A0">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本文件规范性引用文件包括：</w:t>
      </w:r>
    </w:p>
    <w:p w14:paraId="36138057">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GB/T 18204.3 公共场所卫生检验方法 第3部分：空气微生物</w:t>
      </w:r>
    </w:p>
    <w:p w14:paraId="553C0364">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GB/T 18204.5 公共场所卫生检验方法 第5部分：集中空调通风系统</w:t>
      </w:r>
    </w:p>
    <w:p w14:paraId="5BDAFF4A">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GB/T 18204.6 公共场所卫生检验方法 第6部分：卫生监测技术规范</w:t>
      </w:r>
    </w:p>
    <w:p w14:paraId="1FC2D4F4">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GB 19489 实验室 生物安全通用要求</w:t>
      </w:r>
    </w:p>
    <w:p w14:paraId="2FE16749">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GB/T 38517 颗粒 生物气溶胶采样和分析 通则</w:t>
      </w:r>
    </w:p>
    <w:p w14:paraId="54C4FE67">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JJF 1826 空气微生物采样器校准规范</w:t>
      </w:r>
    </w:p>
    <w:p w14:paraId="2915377F">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JJF 2304 生物气溶胶采样器校准规范</w:t>
      </w:r>
    </w:p>
    <w:p w14:paraId="2AC49CE7">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编制依据：</w:t>
      </w:r>
    </w:p>
    <w:p w14:paraId="33D441FD">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所列文件构成了支撑本文件技术体系的核心。​GB/T 18204.3是空气微生物检验的通用方法基础；GB/T 18204.5和GB/T 18204.6分别针对通风系统监测和公共场所卫生监测提供了布点与方法的直接依据；GB 19489是保障生物安全的强制性要求；GB/T 38517为生物气溶胶采样与分析提供了通用技术框架；JJF 1826</w:t>
      </w:r>
      <w:r>
        <w:rPr>
          <w:rFonts w:hint="eastAsia" w:cs="Times New Roman"/>
          <w:szCs w:val="24"/>
          <w:lang w:val="en-US" w:eastAsia="zh-CN"/>
        </w:rPr>
        <w:t>、JJF 2304 生物气溶胶采样器校准规范</w:t>
      </w:r>
      <w:r>
        <w:rPr>
          <w:rFonts w:hint="default" w:cs="Times New Roman"/>
          <w:szCs w:val="24"/>
          <w:lang w:val="en-US" w:eastAsia="zh-CN"/>
        </w:rPr>
        <w:t>是确保采样数据准确、可溯源的计量基础。这些引用确保了本标准与国家标准体系的协调统一</w:t>
      </w:r>
      <w:r>
        <w:rPr>
          <w:rFonts w:hint="eastAsia" w:cs="Times New Roman"/>
          <w:szCs w:val="24"/>
          <w:lang w:val="en-US" w:eastAsia="zh-CN"/>
        </w:rPr>
        <w:t>。</w:t>
      </w:r>
    </w:p>
    <w:p w14:paraId="1D476644">
      <w:pPr>
        <w:pStyle w:val="4"/>
        <w:bidi w:val="0"/>
        <w:rPr>
          <w:rFonts w:hint="eastAsia"/>
          <w:lang w:val="en-US" w:eastAsia="zh-CN"/>
        </w:rPr>
      </w:pPr>
      <w:bookmarkStart w:id="124" w:name="_Toc14561"/>
      <w:r>
        <w:rPr>
          <w:rFonts w:hint="eastAsia"/>
          <w:lang w:val="en-US" w:eastAsia="zh-CN"/>
        </w:rPr>
        <w:t>3.术语定义</w:t>
      </w:r>
      <w:bookmarkEnd w:id="124"/>
    </w:p>
    <w:p w14:paraId="3CFA9721">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（1）空气病原体 airborne pathogens</w:t>
      </w:r>
    </w:p>
    <w:p w14:paraId="2DB6FF11">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空气中可造成人或动物感染疾病的微生物（包括细菌、病毒、立克次体、寄生虫、真菌）或微生物重组体（包括杂交体或突变体）。</w:t>
      </w:r>
    </w:p>
    <w:p w14:paraId="386316AB">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5034A95B">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依据</w:t>
      </w:r>
      <w:r>
        <w:rPr>
          <w:rFonts w:hint="default" w:cs="Times New Roman"/>
          <w:szCs w:val="24"/>
          <w:lang w:val="en-US" w:eastAsia="zh-CN"/>
        </w:rPr>
        <w:t>感染病学名词</w:t>
      </w:r>
      <w:r>
        <w:rPr>
          <w:rFonts w:hint="eastAsia" w:cs="Times New Roman"/>
          <w:szCs w:val="24"/>
          <w:lang w:val="en-US" w:eastAsia="zh-CN"/>
        </w:rPr>
        <w:t>“病原体”</w:t>
      </w:r>
      <w:r>
        <w:rPr>
          <w:rStyle w:val="32"/>
          <w:rFonts w:hint="eastAsia" w:cs="Times New Roman"/>
          <w:szCs w:val="24"/>
          <w:lang w:val="en-US" w:eastAsia="zh-CN"/>
        </w:rPr>
        <w:t>[</w:t>
      </w:r>
      <w:r>
        <w:rPr>
          <w:rStyle w:val="32"/>
          <w:rFonts w:hint="eastAsia" w:cs="Times New Roman"/>
          <w:szCs w:val="24"/>
          <w:lang w:val="en-US" w:eastAsia="zh-CN"/>
        </w:rPr>
        <w:footnoteReference w:id="1"/>
      </w:r>
      <w:r>
        <w:rPr>
          <w:rStyle w:val="32"/>
          <w:rFonts w:hint="eastAsia" w:cs="Times New Roman"/>
          <w:szCs w:val="24"/>
          <w:lang w:val="en-US" w:eastAsia="zh-CN"/>
        </w:rPr>
        <w:t>]</w:t>
      </w:r>
      <w:r>
        <w:rPr>
          <w:rFonts w:hint="eastAsia" w:cs="Times New Roman"/>
          <w:szCs w:val="24"/>
          <w:lang w:val="en-US" w:eastAsia="zh-CN"/>
        </w:rPr>
        <w:t>进行改编，增加“空气中”环境情景，限定适用范围。</w:t>
      </w:r>
    </w:p>
    <w:p w14:paraId="2C844B5A">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（2）生物气溶胶 bioaerosol</w:t>
      </w:r>
    </w:p>
    <w:p w14:paraId="48017543">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含有生物性成分的固体或液体微粒悬浮于气体介质中形成的稳定分散系。</w:t>
      </w:r>
    </w:p>
    <w:p w14:paraId="1D789E4B">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注：生物性成分包括细菌、病毒、真菌、孢子、毒素等。生物气溶胶粒子粒径在0.01 μm~100 μm之间。</w:t>
      </w:r>
    </w:p>
    <w:p w14:paraId="0E388557">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545A9370">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定义引用了GB/T 38517-2020《颗粒 生物气溶胶采样和分析 通则》中生物气溶胶概念，并与微生物学、公共卫生学的通用定义保持一致，明确了监测目标的生物属性和物理形态范围。</w:t>
      </w:r>
    </w:p>
    <w:p w14:paraId="40BA9F10">
      <w:pPr>
        <w:numPr>
          <w:ilvl w:val="0"/>
          <w:numId w:val="0"/>
        </w:numPr>
        <w:adjustRightInd w:val="0"/>
        <w:snapToGrid w:val="0"/>
        <w:spacing w:line="240" w:lineRule="auto"/>
        <w:ind w:firstLine="480" w:firstLineChars="200"/>
        <w:rPr>
          <w:rFonts w:hint="eastAsia" w:cs="Times New Roman"/>
          <w:szCs w:val="24"/>
          <w:lang w:val="en-US" w:eastAsia="zh-CN"/>
        </w:rPr>
      </w:pPr>
      <w:r>
        <w:rPr>
          <w:rFonts w:hint="eastAsia" w:cs="Times New Roman"/>
          <w:kern w:val="2"/>
          <w:sz w:val="24"/>
          <w:szCs w:val="24"/>
          <w:lang w:val="en-US" w:eastAsia="zh-CN" w:bidi="ar-SA"/>
        </w:rPr>
        <w:t>（3）</w:t>
      </w:r>
      <w:r>
        <w:rPr>
          <w:rFonts w:hint="eastAsia" w:cs="Times New Roman"/>
          <w:szCs w:val="24"/>
          <w:lang w:val="en-US" w:eastAsia="zh-CN"/>
        </w:rPr>
        <w:t>智能采样</w:t>
      </w:r>
    </w:p>
    <w:p w14:paraId="4F2A05CE">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智能采样指可实现自动化运行、实时</w:t>
      </w:r>
      <w:r>
        <w:rPr>
          <w:rFonts w:hint="eastAsia" w:cs="Times New Roman"/>
          <w:szCs w:val="24"/>
          <w:lang w:val="en-US" w:eastAsia="zh-CN"/>
        </w:rPr>
        <w:t>环境</w:t>
      </w:r>
      <w:r>
        <w:rPr>
          <w:rFonts w:hint="default" w:cs="Times New Roman"/>
          <w:szCs w:val="24"/>
          <w:lang w:val="en-US" w:eastAsia="zh-CN"/>
        </w:rPr>
        <w:t>感知、采样流量自动校准、GPS定位、采样数据自动记录与无线传输等功能的采样系统，鼓励物联网技术集成。</w:t>
      </w:r>
    </w:p>
    <w:p w14:paraId="47F68E86">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70217A71">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该术语结合了“自动采样”（定义：采样过程中不需人干预，通过仪器设备能按预先编定的程序进行连续或不连续地采样。</w:t>
      </w:r>
      <w:r>
        <w:rPr>
          <w:rStyle w:val="32"/>
          <w:rFonts w:hint="eastAsia" w:cs="Times New Roman"/>
          <w:szCs w:val="24"/>
          <w:lang w:val="en-US" w:eastAsia="zh-CN"/>
        </w:rPr>
        <w:t>[</w:t>
      </w:r>
      <w:r>
        <w:rPr>
          <w:rStyle w:val="32"/>
          <w:rFonts w:hint="eastAsia" w:cs="Times New Roman"/>
          <w:szCs w:val="24"/>
          <w:lang w:val="en-US" w:eastAsia="zh-CN"/>
        </w:rPr>
        <w:footnoteReference w:id="2"/>
      </w:r>
      <w:r>
        <w:rPr>
          <w:rStyle w:val="32"/>
          <w:rFonts w:hint="eastAsia" w:cs="Times New Roman"/>
          <w:szCs w:val="24"/>
          <w:lang w:val="en-US" w:eastAsia="zh-CN"/>
        </w:rPr>
        <w:t>]</w:t>
      </w:r>
      <w:r>
        <w:rPr>
          <w:rFonts w:hint="eastAsia" w:cs="Times New Roman"/>
          <w:szCs w:val="24"/>
          <w:lang w:val="en-US" w:eastAsia="zh-CN"/>
        </w:rPr>
        <w:t>）“智能化系统”（定义：由现代通信与信息技术、计算机网络技术、行业技术、智能控制技术汇集而成的针对某一个方面应用的系统。</w:t>
      </w:r>
      <w:r>
        <w:rPr>
          <w:rStyle w:val="32"/>
          <w:rFonts w:hint="eastAsia" w:cs="Times New Roman"/>
          <w:szCs w:val="24"/>
          <w:lang w:val="en-US" w:eastAsia="zh-CN"/>
        </w:rPr>
        <w:t>[</w:t>
      </w:r>
      <w:r>
        <w:rPr>
          <w:rStyle w:val="32"/>
          <w:rFonts w:hint="eastAsia" w:cs="Times New Roman"/>
          <w:szCs w:val="24"/>
          <w:lang w:val="en-US" w:eastAsia="zh-CN"/>
        </w:rPr>
        <w:footnoteReference w:id="3"/>
      </w:r>
      <w:r>
        <w:rPr>
          <w:rStyle w:val="32"/>
          <w:rFonts w:hint="eastAsia" w:cs="Times New Roman"/>
          <w:szCs w:val="24"/>
          <w:lang w:val="en-US" w:eastAsia="zh-CN"/>
        </w:rPr>
        <w:t>]</w:t>
      </w:r>
      <w:r>
        <w:rPr>
          <w:rFonts w:hint="eastAsia" w:cs="Times New Roman"/>
          <w:szCs w:val="24"/>
          <w:lang w:val="en-US" w:eastAsia="zh-CN"/>
        </w:rPr>
        <w:t>）的定义，综合了物联网、环境传感、自动控制等技术在环境监测领域的发展趋势，参考了《关于推动疾病预防控制事业高质量发展的指导意见》（国办发〔2023〕46号）</w:t>
      </w:r>
      <w:r>
        <w:rPr>
          <w:rStyle w:val="32"/>
          <w:rFonts w:hint="eastAsia" w:cs="Times New Roman"/>
          <w:szCs w:val="24"/>
          <w:lang w:val="en-US" w:eastAsia="zh-CN"/>
        </w:rPr>
        <w:t>[</w:t>
      </w:r>
      <w:r>
        <w:rPr>
          <w:rStyle w:val="32"/>
          <w:rFonts w:hint="eastAsia" w:cs="Times New Roman"/>
          <w:szCs w:val="24"/>
          <w:lang w:val="en-US" w:eastAsia="zh-CN"/>
        </w:rPr>
        <w:footnoteReference w:id="4"/>
      </w:r>
      <w:r>
        <w:rPr>
          <w:rStyle w:val="32"/>
          <w:rFonts w:hint="eastAsia" w:cs="Times New Roman"/>
          <w:szCs w:val="24"/>
          <w:lang w:val="en-US" w:eastAsia="zh-CN"/>
        </w:rPr>
        <w:t>]</w:t>
      </w:r>
      <w:r>
        <w:rPr>
          <w:rFonts w:hint="eastAsia" w:cs="Times New Roman"/>
          <w:szCs w:val="24"/>
          <w:lang w:val="en-US" w:eastAsia="zh-CN"/>
        </w:rPr>
        <w:t>中关于自动获取病原体检测数据、提高数据集成、风险识别、智能分析和及时预警等能力的要求，并考虑地铁场站环境特点和现场采样需求，编写了该定义，以实现数据信息的自动采集、传输、加工、存储、控制等功能。</w:t>
      </w:r>
    </w:p>
    <w:p w14:paraId="74AF0BF8">
      <w:pPr>
        <w:numPr>
          <w:ilvl w:val="0"/>
          <w:numId w:val="0"/>
        </w:numPr>
        <w:adjustRightInd w:val="0"/>
        <w:snapToGrid w:val="0"/>
        <w:spacing w:line="240" w:lineRule="auto"/>
        <w:ind w:left="0" w:leftChars="0" w:firstLine="480" w:firstLineChars="200"/>
        <w:rPr>
          <w:rFonts w:hint="default" w:cs="Times New Roman"/>
          <w:szCs w:val="24"/>
          <w:lang w:val="en-US" w:eastAsia="zh-CN"/>
        </w:rPr>
      </w:pPr>
      <w:r>
        <w:rPr>
          <w:rFonts w:hint="eastAsia" w:cs="Times New Roman"/>
          <w:kern w:val="2"/>
          <w:sz w:val="24"/>
          <w:szCs w:val="24"/>
          <w:lang w:val="en-US" w:eastAsia="zh-CN" w:bidi="ar-SA"/>
        </w:rPr>
        <w:t>（4）</w:t>
      </w:r>
      <w:r>
        <w:rPr>
          <w:rFonts w:hint="eastAsia" w:cs="Times New Roman"/>
          <w:szCs w:val="24"/>
          <w:lang w:val="en-US" w:eastAsia="zh-CN"/>
        </w:rPr>
        <w:t>静电吸附采样 electrostatic adsorption sampling</w:t>
      </w:r>
    </w:p>
    <w:p w14:paraId="7C39619A">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使生物气溶胶粒子带电，并在高压静电场作用下，将其吸附收集到特定介质（如滤膜、培养皿、液体）上的采样方法。</w:t>
      </w:r>
    </w:p>
    <w:p w14:paraId="6ED959DA">
      <w:pPr>
        <w:numPr>
          <w:ilvl w:val="0"/>
          <w:numId w:val="0"/>
        </w:numPr>
        <w:adjustRightInd w:val="0"/>
        <w:snapToGrid w:val="0"/>
        <w:spacing w:line="240" w:lineRule="auto"/>
        <w:ind w:leftChars="200"/>
        <w:rPr>
          <w:rFonts w:hint="default" w:cs="Times New Roman"/>
          <w:szCs w:val="24"/>
          <w:lang w:val="en-US" w:eastAsia="zh-CN"/>
        </w:rPr>
      </w:pPr>
      <w:r>
        <w:rPr>
          <w:rFonts w:hint="eastAsia" w:cs="Times New Roman"/>
          <w:szCs w:val="24"/>
          <w:lang w:val="en-US" w:eastAsia="zh-CN"/>
        </w:rPr>
        <w:t>编制依据：</w:t>
      </w:r>
    </w:p>
    <w:p w14:paraId="4CD8B1CF">
      <w:pPr>
        <w:adjustRightInd w:val="0"/>
        <w:snapToGrid w:val="0"/>
        <w:spacing w:line="240" w:lineRule="auto"/>
        <w:ind w:firstLine="480" w:firstLineChars="200"/>
        <w:rPr>
          <w:rFonts w:hint="eastAsia" w:cs="Times New Roman"/>
          <w:szCs w:val="24"/>
          <w:lang w:val="en-US" w:eastAsia="zh-CN"/>
        </w:rPr>
      </w:pPr>
      <w:r>
        <w:rPr>
          <w:rFonts w:hint="default" w:cs="Times New Roman"/>
          <w:szCs w:val="24"/>
          <w:lang w:val="en-US" w:eastAsia="zh-CN"/>
        </w:rPr>
        <w:t>定义参考了</w:t>
      </w:r>
      <w:r>
        <w:rPr>
          <w:rFonts w:hint="eastAsia" w:cs="Times New Roman"/>
          <w:szCs w:val="24"/>
          <w:lang w:val="en-US" w:eastAsia="zh-CN"/>
        </w:rPr>
        <w:t>徐羽贞</w:t>
      </w:r>
      <w:r>
        <w:rPr>
          <w:rStyle w:val="32"/>
          <w:rFonts w:hint="eastAsia" w:cs="Times New Roman"/>
          <w:szCs w:val="24"/>
          <w:lang w:val="en-US" w:eastAsia="zh-CN"/>
        </w:rPr>
        <w:t>[</w:t>
      </w:r>
      <w:r>
        <w:rPr>
          <w:rStyle w:val="32"/>
          <w:rFonts w:hint="eastAsia" w:cs="Times New Roman"/>
          <w:szCs w:val="24"/>
          <w:lang w:val="en-US" w:eastAsia="zh-CN"/>
        </w:rPr>
        <w:footnoteReference w:id="5"/>
      </w:r>
      <w:r>
        <w:rPr>
          <w:rStyle w:val="32"/>
          <w:rFonts w:hint="eastAsia" w:cs="Times New Roman"/>
          <w:szCs w:val="24"/>
          <w:lang w:val="en-US" w:eastAsia="zh-CN"/>
        </w:rPr>
        <w:t>]</w:t>
      </w:r>
      <w:r>
        <w:rPr>
          <w:rFonts w:hint="eastAsia" w:cs="Times New Roman"/>
          <w:szCs w:val="24"/>
          <w:lang w:val="en-US" w:eastAsia="zh-CN"/>
        </w:rPr>
        <w:t>、Yao</w:t>
      </w:r>
      <w:r>
        <w:rPr>
          <w:rStyle w:val="32"/>
          <w:rFonts w:hint="eastAsia" w:cs="Times New Roman"/>
          <w:szCs w:val="24"/>
          <w:lang w:val="en-US" w:eastAsia="zh-CN"/>
        </w:rPr>
        <w:t>[</w:t>
      </w:r>
      <w:r>
        <w:rPr>
          <w:rStyle w:val="32"/>
          <w:rFonts w:hint="eastAsia" w:cs="Times New Roman"/>
          <w:szCs w:val="24"/>
          <w:lang w:val="en-US" w:eastAsia="zh-CN"/>
        </w:rPr>
        <w:footnoteReference w:id="6"/>
      </w:r>
      <w:r>
        <w:rPr>
          <w:rStyle w:val="32"/>
          <w:rFonts w:hint="eastAsia" w:cs="Times New Roman"/>
          <w:szCs w:val="24"/>
          <w:lang w:val="en-US" w:eastAsia="zh-CN"/>
        </w:rPr>
        <w:t>]</w:t>
      </w:r>
      <w:r>
        <w:rPr>
          <w:rFonts w:hint="eastAsia" w:cs="Times New Roman"/>
          <w:szCs w:val="24"/>
          <w:lang w:val="en-US" w:eastAsia="zh-CN"/>
        </w:rPr>
        <w:t>等多篇参考文献</w:t>
      </w:r>
      <w:r>
        <w:rPr>
          <w:rFonts w:hint="default" w:cs="Times New Roman"/>
          <w:szCs w:val="24"/>
          <w:lang w:val="en-US" w:eastAsia="zh-CN"/>
        </w:rPr>
        <w:t>，</w:t>
      </w:r>
      <w:r>
        <w:rPr>
          <w:rFonts w:hint="eastAsia" w:cs="Times New Roman"/>
          <w:szCs w:val="24"/>
          <w:lang w:val="en-US" w:eastAsia="zh-CN"/>
        </w:rPr>
        <w:t>依据静电收集技术特点和静电气溶胶采样原理编写该术语。</w:t>
      </w:r>
    </w:p>
    <w:p w14:paraId="33C1A9AD">
      <w:pPr>
        <w:pStyle w:val="4"/>
        <w:bidi w:val="0"/>
        <w:rPr>
          <w:rFonts w:hint="eastAsia"/>
          <w:lang w:val="en-US" w:eastAsia="zh-CN"/>
        </w:rPr>
      </w:pPr>
      <w:bookmarkStart w:id="125" w:name="_Toc24956"/>
      <w:r>
        <w:rPr>
          <w:rFonts w:hint="eastAsia"/>
          <w:lang w:val="en-US" w:eastAsia="zh-CN"/>
        </w:rPr>
        <w:t>4.智能采样系统构成</w:t>
      </w:r>
      <w:bookmarkEnd w:id="125"/>
    </w:p>
    <w:p w14:paraId="511E369C">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（1）</w:t>
      </w:r>
      <w:r>
        <w:rPr>
          <w:rFonts w:hint="default" w:cs="Times New Roman"/>
          <w:szCs w:val="24"/>
          <w:lang w:val="en-US" w:eastAsia="zh-CN"/>
        </w:rPr>
        <w:t>核心采样设备</w:t>
      </w:r>
    </w:p>
    <w:p w14:paraId="65858334">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静电吸附生物气溶胶采样器（以下简称静电场采样器）：通过内置泵产生负压吸入空气，并在采样通道内建立高压静电场，使带电的生物气溶胶粒子在静电力作用下沉积到采集介质上的设备。</w:t>
      </w:r>
    </w:p>
    <w:p w14:paraId="2BBAA0ED">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——采样流量：通常不低于5L/min。</w:t>
      </w:r>
    </w:p>
    <w:p w14:paraId="4935593A">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——检测灵敏度：通常不低于0.1 CFU/m</w:t>
      </w:r>
      <w:r>
        <w:rPr>
          <w:rFonts w:hint="default" w:cs="Times New Roman"/>
          <w:szCs w:val="24"/>
          <w:vertAlign w:val="superscript"/>
          <w:lang w:val="en-US" w:eastAsia="zh-CN"/>
        </w:rPr>
        <w:t>3</w:t>
      </w:r>
      <w:r>
        <w:rPr>
          <w:rFonts w:hint="default" w:cs="Times New Roman"/>
          <w:szCs w:val="24"/>
          <w:lang w:val="en-US" w:eastAsia="zh-CN"/>
        </w:rPr>
        <w:t>。</w:t>
      </w:r>
    </w:p>
    <w:p w14:paraId="322A6A7D">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w:t>
      </w:r>
      <w:r>
        <w:rPr>
          <w:rFonts w:hint="eastAsia"/>
          <w:lang w:val="en-US" w:eastAsia="zh-CN"/>
        </w:rPr>
        <w:t>设备运行噪声：低于70 dB(A)。</w:t>
      </w:r>
    </w:p>
    <w:p w14:paraId="6D338297">
      <w:pPr>
        <w:adjustRightInd w:val="0"/>
        <w:snapToGrid w:val="0"/>
        <w:spacing w:line="240" w:lineRule="auto"/>
        <w:ind w:firstLine="480" w:firstLineChars="200"/>
        <w:rPr>
          <w:rFonts w:hint="eastAsia" w:cs="Times New Roman"/>
          <w:szCs w:val="24"/>
          <w:lang w:val="en-US" w:eastAsia="zh-CN"/>
        </w:rPr>
      </w:pPr>
      <w:r>
        <w:rPr>
          <w:rFonts w:hint="default" w:cs="Times New Roman"/>
          <w:szCs w:val="24"/>
          <w:lang w:val="en-US" w:eastAsia="zh-CN"/>
        </w:rPr>
        <w:t>——采集介质：可根据后续分析需要，选用无菌滤膜、固体培养皿或液体培养液等</w:t>
      </w:r>
      <w:r>
        <w:rPr>
          <w:rFonts w:hint="eastAsia" w:cs="Times New Roman"/>
          <w:szCs w:val="24"/>
          <w:lang w:val="en-US" w:eastAsia="zh-CN"/>
        </w:rPr>
        <w:t>。</w:t>
      </w:r>
    </w:p>
    <w:p w14:paraId="158F05C1">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788C9F46">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该参数是平衡采样效率、设备便携性与采样时间的关键。参考了主流静电吸附采样器的典型工作流量范围。依据GB/T 38517，静电吸附采样器适用于病毒气溶胶的采集，对病毒气溶胶存活力无明显降低；大流量静电吸附采样器适用于低浓度病毒气溶胶的采集。在地铁复杂的环境状况下，选用静电吸附生物气溶胶采样器可以有效保留采集样品的生物活动，文献表明，与传统的采样方法如撞击法、冲击法相比较，利用静电力将微生物气溶胶收集到介质上时速度小，能够更好地保持微生物形态和生物活性，且收集效率高，是新型有效的微生物气溶胶采样技术。</w:t>
      </w:r>
    </w:p>
    <w:p w14:paraId="3AD61B5C">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对于灵敏度的要求，该指标是基于地铁环境背景微生物浓度和公共卫生预警需求。本研究预实验表明，地铁空气中细菌浓度通常在</w:t>
      </w:r>
      <w:r>
        <w:rPr>
          <w:rFonts w:hint="default" w:ascii="Times New Roman" w:hAnsi="Times New Roman" w:cs="Times New Roman"/>
          <w:szCs w:val="24"/>
          <w:lang w:val="en-US" w:eastAsia="zh-CN"/>
        </w:rPr>
        <w:t>10</w:t>
      </w:r>
      <w:r>
        <w:rPr>
          <w:rFonts w:hint="eastAsia" w:cs="Times New Roman"/>
          <w:szCs w:val="24"/>
          <w:vertAlign w:val="superscript"/>
          <w:lang w:val="en-US" w:eastAsia="zh-CN"/>
        </w:rPr>
        <w:t>2</w:t>
      </w:r>
      <w:r>
        <w:rPr>
          <w:rFonts w:hint="eastAsia" w:cs="Times New Roman"/>
          <w:szCs w:val="24"/>
          <w:lang w:val="en-US" w:eastAsia="zh-CN"/>
        </w:rPr>
        <w:t>~</w:t>
      </w:r>
      <w:r>
        <w:rPr>
          <w:rFonts w:hint="default" w:ascii="Times New Roman" w:hAnsi="Times New Roman" w:cs="Times New Roman"/>
          <w:szCs w:val="24"/>
          <w:lang w:val="en-US" w:eastAsia="zh-CN"/>
        </w:rPr>
        <w:t>10</w:t>
      </w:r>
      <w:r>
        <w:rPr>
          <w:rFonts w:hint="eastAsia" w:cs="Times New Roman"/>
          <w:szCs w:val="24"/>
          <w:vertAlign w:val="superscript"/>
          <w:lang w:val="en-US" w:eastAsia="zh-CN"/>
        </w:rPr>
        <w:t>4</w:t>
      </w:r>
      <w:r>
        <w:rPr>
          <w:rFonts w:hint="eastAsia" w:cs="Times New Roman"/>
          <w:szCs w:val="24"/>
          <w:lang w:val="en-US" w:eastAsia="zh-CN"/>
        </w:rPr>
        <w:t xml:space="preserve"> CFU/m</w:t>
      </w:r>
      <w:r>
        <w:rPr>
          <w:rFonts w:hint="eastAsia" w:cs="Times New Roman"/>
          <w:szCs w:val="24"/>
          <w:vertAlign w:val="superscript"/>
          <w:lang w:val="en-US" w:eastAsia="zh-CN"/>
        </w:rPr>
        <w:t>3</w:t>
      </w:r>
      <w:r>
        <w:rPr>
          <w:rFonts w:hint="eastAsia" w:cs="Times New Roman"/>
          <w:szCs w:val="24"/>
          <w:lang w:val="en-US" w:eastAsia="zh-CN"/>
        </w:rPr>
        <w:t>量级，病毒浓度更低。设定此灵敏度下限是为了确保设备能够有效监测到浓度的异常升高，满足早期预警需求。</w:t>
      </w:r>
    </w:p>
    <w:p w14:paraId="07FC1E24">
      <w:pPr>
        <w:adjustRightInd w:val="0"/>
        <w:snapToGrid w:val="0"/>
        <w:spacing w:line="240" w:lineRule="auto"/>
        <w:ind w:firstLine="480" w:firstLineChars="200"/>
        <w:rPr>
          <w:rFonts w:hint="default"/>
          <w:lang w:val="en-US" w:eastAsia="zh-CN"/>
        </w:rPr>
      </w:pPr>
      <w:r>
        <w:rPr>
          <w:rFonts w:hint="eastAsia" w:cs="Times New Roman"/>
          <w:szCs w:val="24"/>
          <w:lang w:val="en-US" w:eastAsia="zh-CN"/>
        </w:rPr>
        <w:t>依据GB 37488《公共场所卫生指标及限值要求》，候车室及公共交通工具客舱环境噪声宜小于</w:t>
      </w:r>
      <w:r>
        <w:rPr>
          <w:rFonts w:hint="eastAsia"/>
          <w:lang w:val="en-US" w:eastAsia="zh-CN"/>
        </w:rPr>
        <w:t>70 dB(A)。另外考虑到在地铁公共场所开展环境采样，不宜使用噪声过大的采样设备，避免引起公众慌乱，因此建议使用噪声较小的设备。</w:t>
      </w:r>
    </w:p>
    <w:p w14:paraId="46719DC3">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（2）辅助传感单元</w:t>
      </w:r>
    </w:p>
    <w:p w14:paraId="319CD081">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建议集成温度、相对湿度、风速、噪声、颗粒物（PM</w:t>
      </w:r>
      <w:r>
        <w:rPr>
          <w:rFonts w:hint="eastAsia" w:cs="Times New Roman"/>
          <w:szCs w:val="24"/>
          <w:vertAlign w:val="subscript"/>
          <w:lang w:val="en-US" w:eastAsia="zh-CN"/>
        </w:rPr>
        <w:t>2.5</w:t>
      </w:r>
      <w:r>
        <w:rPr>
          <w:rFonts w:hint="eastAsia" w:cs="Times New Roman"/>
          <w:szCs w:val="24"/>
          <w:lang w:val="en-US" w:eastAsia="zh-CN"/>
        </w:rPr>
        <w:t>/PM</w:t>
      </w:r>
      <w:r>
        <w:rPr>
          <w:rFonts w:hint="eastAsia" w:cs="Times New Roman"/>
          <w:szCs w:val="24"/>
          <w:vertAlign w:val="subscript"/>
          <w:lang w:val="en-US" w:eastAsia="zh-CN"/>
        </w:rPr>
        <w:t>10</w:t>
      </w:r>
      <w:r>
        <w:rPr>
          <w:rFonts w:hint="eastAsia" w:cs="Times New Roman"/>
          <w:szCs w:val="24"/>
          <w:lang w:val="en-US" w:eastAsia="zh-CN"/>
        </w:rPr>
        <w:t>）、VOCs</w:t>
      </w:r>
      <w:r>
        <w:rPr>
          <w:rFonts w:hint="eastAsia"/>
          <w:lang w:val="en-US" w:eastAsia="zh-CN"/>
        </w:rPr>
        <w:t>（可选）</w:t>
      </w:r>
      <w:r>
        <w:rPr>
          <w:rFonts w:hint="eastAsia" w:cs="Times New Roman"/>
          <w:szCs w:val="24"/>
          <w:lang w:val="en-US" w:eastAsia="zh-CN"/>
        </w:rPr>
        <w:t>等传感器，用于同步监测记录地铁环境复合污染物参数。设备应能实时显示并记录电场电压、采样流量、运行时间等参数。</w:t>
      </w:r>
    </w:p>
    <w:p w14:paraId="1F4B791D">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1F08B1C8">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辅助传感单元是指集成在静电场采样器上，可同时开展环境数据收集、上传的设备。选了几个比较常见、技术成熟且会影响空气中病原体气溶胶状况的指标，包括温度、相对湿度、风速、噪声、颗粒物（PM</w:t>
      </w:r>
      <w:r>
        <w:rPr>
          <w:rFonts w:hint="eastAsia" w:cs="Times New Roman"/>
          <w:szCs w:val="24"/>
          <w:vertAlign w:val="subscript"/>
          <w:lang w:val="en-US" w:eastAsia="zh-CN"/>
        </w:rPr>
        <w:t>2.5</w:t>
      </w:r>
      <w:r>
        <w:rPr>
          <w:rFonts w:hint="eastAsia" w:cs="Times New Roman"/>
          <w:szCs w:val="24"/>
          <w:lang w:val="en-US" w:eastAsia="zh-CN"/>
        </w:rPr>
        <w:t>/PM</w:t>
      </w:r>
      <w:r>
        <w:rPr>
          <w:rFonts w:hint="eastAsia" w:cs="Times New Roman"/>
          <w:szCs w:val="24"/>
          <w:vertAlign w:val="subscript"/>
          <w:lang w:val="en-US" w:eastAsia="zh-CN"/>
        </w:rPr>
        <w:t>10</w:t>
      </w:r>
      <w:r>
        <w:rPr>
          <w:rFonts w:hint="eastAsia" w:cs="Times New Roman"/>
          <w:szCs w:val="24"/>
          <w:lang w:val="en-US" w:eastAsia="zh-CN"/>
        </w:rPr>
        <w:t>）等。对于VOCs指标，依据是地铁环境内VOCs来源复杂（装修材料、清洁剂、人体代谢等），其浓度变化可能与人群密度、新风量相关，是评估室内空气质量和感染风险的综合辅助指标。考虑到目前VOCs传感器的可靠性，该指标作为“可选”指标。</w:t>
      </w:r>
    </w:p>
    <w:p w14:paraId="2771F0D8">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（3）数据管理与传输单元</w:t>
      </w:r>
    </w:p>
    <w:p w14:paraId="529855E2">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应具备嵌入式操作系统，支持无线网络（如4G/5G/WIFI）数据传输，可将采样数据、环境参数及地理位置信息实时上传至指定监测平台，支持</w:t>
      </w:r>
      <w:r>
        <w:rPr>
          <w:rFonts w:hint="eastAsia"/>
          <w:lang w:val="en-US" w:eastAsia="zh-CN"/>
        </w:rPr>
        <w:t>音视频自动采集、</w:t>
      </w:r>
      <w:r>
        <w:rPr>
          <w:rFonts w:hint="default" w:cs="Times New Roman"/>
          <w:szCs w:val="24"/>
          <w:lang w:val="en-US" w:eastAsia="zh-CN"/>
        </w:rPr>
        <w:t>远程监控、任务设置与数据管理等智能化功能。</w:t>
      </w:r>
    </w:p>
    <w:p w14:paraId="51D6DFB1">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047463AD">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规定</w:t>
      </w:r>
      <w:r>
        <w:rPr>
          <w:rFonts w:hint="eastAsia" w:cs="Times New Roman"/>
          <w:szCs w:val="24"/>
          <w:lang w:val="en-US" w:eastAsia="zh-CN"/>
        </w:rPr>
        <w:t>数据</w:t>
      </w:r>
      <w:r>
        <w:rPr>
          <w:rFonts w:hint="default" w:cs="Times New Roman"/>
          <w:szCs w:val="24"/>
          <w:lang w:val="en-US" w:eastAsia="zh-CN"/>
        </w:rPr>
        <w:t>无线传输</w:t>
      </w:r>
      <w:r>
        <w:rPr>
          <w:rFonts w:hint="eastAsia" w:cs="Times New Roman"/>
          <w:szCs w:val="24"/>
          <w:lang w:val="en-US" w:eastAsia="zh-CN"/>
        </w:rPr>
        <w:t>、设备</w:t>
      </w:r>
      <w:r>
        <w:rPr>
          <w:rFonts w:hint="default" w:cs="Times New Roman"/>
          <w:szCs w:val="24"/>
          <w:lang w:val="en-US" w:eastAsia="zh-CN"/>
        </w:rPr>
        <w:t>远程管理</w:t>
      </w:r>
      <w:r>
        <w:rPr>
          <w:rFonts w:hint="eastAsia" w:cs="Times New Roman"/>
          <w:szCs w:val="24"/>
          <w:lang w:val="en-US" w:eastAsia="zh-CN"/>
        </w:rPr>
        <w:t>、任务设置等</w:t>
      </w:r>
      <w:r>
        <w:rPr>
          <w:rFonts w:hint="default" w:cs="Times New Roman"/>
          <w:szCs w:val="24"/>
          <w:lang w:val="en-US" w:eastAsia="zh-CN"/>
        </w:rPr>
        <w:t>功能，是落实</w:t>
      </w:r>
      <w:r>
        <w:rPr>
          <w:rFonts w:hint="eastAsia" w:cs="Times New Roman"/>
          <w:szCs w:val="24"/>
          <w:lang w:val="en-US" w:eastAsia="zh-CN"/>
        </w:rPr>
        <w:t>“</w:t>
      </w:r>
      <w:r>
        <w:rPr>
          <w:rFonts w:hint="default" w:cs="Times New Roman"/>
          <w:szCs w:val="24"/>
          <w:lang w:val="en-US" w:eastAsia="zh-CN"/>
        </w:rPr>
        <w:t>智能</w:t>
      </w:r>
      <w:r>
        <w:rPr>
          <w:rFonts w:hint="eastAsia" w:cs="Times New Roman"/>
          <w:szCs w:val="24"/>
          <w:lang w:val="en-US" w:eastAsia="zh-CN"/>
        </w:rPr>
        <w:t>”</w:t>
      </w:r>
      <w:r>
        <w:rPr>
          <w:rFonts w:hint="default" w:cs="Times New Roman"/>
          <w:szCs w:val="24"/>
          <w:lang w:val="en-US" w:eastAsia="zh-CN"/>
        </w:rPr>
        <w:t>与</w:t>
      </w:r>
      <w:r>
        <w:rPr>
          <w:rFonts w:hint="eastAsia" w:cs="Times New Roman"/>
          <w:szCs w:val="24"/>
          <w:lang w:val="en-US" w:eastAsia="zh-CN"/>
        </w:rPr>
        <w:t>“</w:t>
      </w:r>
      <w:r>
        <w:rPr>
          <w:rFonts w:hint="default" w:cs="Times New Roman"/>
          <w:szCs w:val="24"/>
          <w:lang w:val="en-US" w:eastAsia="zh-CN"/>
        </w:rPr>
        <w:t>现场</w:t>
      </w:r>
      <w:r>
        <w:rPr>
          <w:rFonts w:hint="eastAsia" w:cs="Times New Roman"/>
          <w:szCs w:val="24"/>
          <w:lang w:val="en-US" w:eastAsia="zh-CN"/>
        </w:rPr>
        <w:t>”</w:t>
      </w:r>
      <w:r>
        <w:rPr>
          <w:rFonts w:hint="default" w:cs="Times New Roman"/>
          <w:szCs w:val="24"/>
          <w:lang w:val="en-US" w:eastAsia="zh-CN"/>
        </w:rPr>
        <w:t>实时监控、实现数据集中管理与快速响应的技术基础</w:t>
      </w:r>
      <w:r>
        <w:rPr>
          <w:rFonts w:hint="eastAsia" w:cs="Times New Roman"/>
          <w:szCs w:val="24"/>
          <w:lang w:val="en-US" w:eastAsia="zh-CN"/>
        </w:rPr>
        <w:t>。这些技术</w:t>
      </w:r>
      <w:r>
        <w:rPr>
          <w:rFonts w:hint="default" w:cs="Times New Roman"/>
          <w:szCs w:val="24"/>
          <w:lang w:val="en-US" w:eastAsia="zh-CN"/>
        </w:rPr>
        <w:t>改变了传统采样数据记录滞后、易出错的弊端，符合当前环境监测网络化、信息化</w:t>
      </w:r>
      <w:r>
        <w:rPr>
          <w:rFonts w:hint="eastAsia" w:cs="Times New Roman"/>
          <w:szCs w:val="24"/>
          <w:lang w:val="en-US" w:eastAsia="zh-CN"/>
        </w:rPr>
        <w:t>、智能化</w:t>
      </w:r>
      <w:r>
        <w:rPr>
          <w:rFonts w:hint="default" w:cs="Times New Roman"/>
          <w:szCs w:val="24"/>
          <w:lang w:val="en-US" w:eastAsia="zh-CN"/>
        </w:rPr>
        <w:t>的发展方向。</w:t>
      </w:r>
      <w:r>
        <w:rPr>
          <w:rFonts w:hint="eastAsia"/>
          <w:lang w:val="en-US" w:eastAsia="zh-CN"/>
        </w:rPr>
        <w:t>音视频自动采集模块可以真实记录采样现场、采样人员和采样环境信息。</w:t>
      </w:r>
    </w:p>
    <w:p w14:paraId="359F1908">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（4）采样耗材</w:t>
      </w:r>
    </w:p>
    <w:p w14:paraId="7F1FFB6A">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包括一次性无菌滤膜、培养皿、专用采集/培养液（应符合相关病毒或微生物保存要求，如维持病原体核酸或活性稳定）等。</w:t>
      </w:r>
    </w:p>
    <w:p w14:paraId="75B8331C">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18875E09">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本条</w:t>
      </w:r>
      <w:r>
        <w:rPr>
          <w:rFonts w:hint="eastAsia" w:cs="Times New Roman"/>
          <w:szCs w:val="24"/>
          <w:lang w:val="en-US" w:eastAsia="zh-CN"/>
        </w:rPr>
        <w:t>文</w:t>
      </w:r>
      <w:r>
        <w:rPr>
          <w:rFonts w:hint="default" w:cs="Times New Roman"/>
          <w:szCs w:val="24"/>
          <w:lang w:val="en-US" w:eastAsia="zh-CN"/>
        </w:rPr>
        <w:t>对采样耗材的规定，旨在确保样本的无菌性、有效性及生物安全。</w:t>
      </w:r>
      <w:r>
        <w:rPr>
          <w:rFonts w:hint="eastAsia" w:cs="Times New Roman"/>
          <w:szCs w:val="24"/>
          <w:lang w:val="en-US" w:eastAsia="zh-CN"/>
        </w:rPr>
        <w:t>本条文</w:t>
      </w:r>
      <w:r>
        <w:rPr>
          <w:rFonts w:hint="default" w:cs="Times New Roman"/>
          <w:szCs w:val="24"/>
          <w:lang w:val="en-US" w:eastAsia="zh-CN"/>
        </w:rPr>
        <w:t>遵循微生物检测基本原则，满足GB 19489的生物安全管理要求，杜绝交叉污染。</w:t>
      </w:r>
      <w:r>
        <w:rPr>
          <w:rFonts w:hint="eastAsia" w:cs="Times New Roman"/>
          <w:szCs w:val="24"/>
          <w:lang w:val="en-US" w:eastAsia="zh-CN"/>
        </w:rPr>
        <w:t>以列举法</w:t>
      </w:r>
      <w:r>
        <w:rPr>
          <w:rFonts w:hint="default" w:cs="Times New Roman"/>
          <w:szCs w:val="24"/>
          <w:lang w:val="en-US" w:eastAsia="zh-CN"/>
        </w:rPr>
        <w:t>列出的滤膜、培养皿、采集/培养液</w:t>
      </w:r>
      <w:r>
        <w:rPr>
          <w:rFonts w:hint="eastAsia" w:cs="Times New Roman"/>
          <w:szCs w:val="24"/>
          <w:lang w:val="en-US" w:eastAsia="zh-CN"/>
        </w:rPr>
        <w:t>等，</w:t>
      </w:r>
      <w:r>
        <w:rPr>
          <w:rFonts w:hint="default" w:cs="Times New Roman"/>
          <w:szCs w:val="24"/>
          <w:lang w:val="en-US" w:eastAsia="zh-CN"/>
        </w:rPr>
        <w:t>涵盖了吸附、撞击、液体捕获等主流采样方法，确保与静电吸附等多种智能采样器兼容。</w:t>
      </w:r>
      <w:r>
        <w:rPr>
          <w:rFonts w:hint="eastAsia" w:cs="Times New Roman"/>
          <w:szCs w:val="24"/>
          <w:lang w:val="en-US" w:eastAsia="zh-CN"/>
        </w:rPr>
        <w:t>专</w:t>
      </w:r>
      <w:r>
        <w:rPr>
          <w:rFonts w:hint="default" w:cs="Times New Roman"/>
          <w:szCs w:val="24"/>
          <w:lang w:val="en-US" w:eastAsia="zh-CN"/>
        </w:rPr>
        <w:t>用液体的</w:t>
      </w:r>
      <w:r>
        <w:rPr>
          <w:rFonts w:hint="eastAsia" w:cs="Times New Roman"/>
          <w:szCs w:val="24"/>
          <w:lang w:val="en-US" w:eastAsia="zh-CN"/>
        </w:rPr>
        <w:t>“</w:t>
      </w:r>
      <w:r>
        <w:rPr>
          <w:rFonts w:hint="default" w:cs="Times New Roman"/>
          <w:szCs w:val="24"/>
          <w:lang w:val="en-US" w:eastAsia="zh-CN"/>
        </w:rPr>
        <w:t>保存要求</w:t>
      </w:r>
      <w:r>
        <w:rPr>
          <w:rFonts w:hint="eastAsia" w:cs="Times New Roman"/>
          <w:szCs w:val="24"/>
          <w:lang w:val="en-US" w:eastAsia="zh-CN"/>
        </w:rPr>
        <w:t>”可保障</w:t>
      </w:r>
      <w:r>
        <w:rPr>
          <w:rFonts w:hint="default" w:cs="Times New Roman"/>
          <w:szCs w:val="24"/>
          <w:lang w:val="en-US" w:eastAsia="zh-CN"/>
        </w:rPr>
        <w:t>维持病原体核酸或活性稳定，是保证后续PCR、培养等检测结果准确的前提。</w:t>
      </w:r>
    </w:p>
    <w:p w14:paraId="5899C93D">
      <w:pPr>
        <w:pStyle w:val="4"/>
        <w:bidi w:val="0"/>
        <w:rPr>
          <w:rFonts w:hint="default"/>
          <w:lang w:val="en-US" w:eastAsia="zh-CN"/>
        </w:rPr>
      </w:pPr>
      <w:bookmarkStart w:id="126" w:name="_Toc23261"/>
      <w:r>
        <w:rPr>
          <w:rFonts w:hint="eastAsia"/>
          <w:lang w:val="en-US" w:eastAsia="zh-CN"/>
        </w:rPr>
        <w:t>5.采样前的准备</w:t>
      </w:r>
      <w:bookmarkEnd w:id="126"/>
    </w:p>
    <w:p w14:paraId="5A76FBD5">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（1）现场调查与方案制定</w:t>
      </w:r>
    </w:p>
    <w:p w14:paraId="4442EA40">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应调查地铁场站的建筑面积、空间结构、功能分区、客流高峰时段、通风系统类型与运行模式（特别是集中空调通风系统）。根据调查结果与监测目的，制定采样计划，明确重点区域（如进风口、闸机、候车区、卫生间等）的采样布点、时间与频次。</w:t>
      </w:r>
    </w:p>
    <w:p w14:paraId="0EF06722">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5625AF6C">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强调</w:t>
      </w:r>
      <w:r>
        <w:rPr>
          <w:rFonts w:hint="default" w:cs="Times New Roman"/>
          <w:szCs w:val="24"/>
          <w:lang w:val="en-US" w:eastAsia="zh-CN"/>
        </w:rPr>
        <w:t>调查</w:t>
      </w:r>
      <w:r>
        <w:rPr>
          <w:rFonts w:hint="eastAsia" w:cs="Times New Roman"/>
          <w:szCs w:val="24"/>
          <w:lang w:val="en-US" w:eastAsia="zh-CN"/>
        </w:rPr>
        <w:t>“</w:t>
      </w:r>
      <w:r>
        <w:rPr>
          <w:rFonts w:hint="default" w:cs="Times New Roman"/>
          <w:szCs w:val="24"/>
          <w:lang w:val="en-US" w:eastAsia="zh-CN"/>
        </w:rPr>
        <w:t>客流高峰时段</w:t>
      </w:r>
      <w:r>
        <w:rPr>
          <w:rFonts w:hint="eastAsia" w:cs="Times New Roman"/>
          <w:szCs w:val="24"/>
          <w:lang w:val="en-US" w:eastAsia="zh-CN"/>
        </w:rPr>
        <w:t>”</w:t>
      </w:r>
      <w:r>
        <w:rPr>
          <w:rFonts w:hint="default" w:cs="Times New Roman"/>
          <w:szCs w:val="24"/>
          <w:lang w:val="en-US" w:eastAsia="zh-CN"/>
        </w:rPr>
        <w:t>和</w:t>
      </w:r>
      <w:r>
        <w:rPr>
          <w:rFonts w:hint="eastAsia" w:cs="Times New Roman"/>
          <w:szCs w:val="24"/>
          <w:lang w:val="en-US" w:eastAsia="zh-CN"/>
        </w:rPr>
        <w:t>“</w:t>
      </w:r>
      <w:r>
        <w:rPr>
          <w:rFonts w:hint="default" w:cs="Times New Roman"/>
          <w:szCs w:val="24"/>
          <w:lang w:val="en-US" w:eastAsia="zh-CN"/>
        </w:rPr>
        <w:t>通风系统</w:t>
      </w:r>
      <w:r>
        <w:rPr>
          <w:rFonts w:hint="eastAsia" w:cs="Times New Roman"/>
          <w:szCs w:val="24"/>
          <w:lang w:val="en-US" w:eastAsia="zh-CN"/>
        </w:rPr>
        <w:t>类型与</w:t>
      </w:r>
      <w:r>
        <w:rPr>
          <w:rFonts w:hint="default" w:cs="Times New Roman"/>
          <w:szCs w:val="24"/>
          <w:lang w:val="en-US" w:eastAsia="zh-CN"/>
        </w:rPr>
        <w:t>运行模式</w:t>
      </w:r>
      <w:r>
        <w:rPr>
          <w:rFonts w:hint="eastAsia" w:cs="Times New Roman"/>
          <w:szCs w:val="24"/>
          <w:lang w:val="en-US" w:eastAsia="zh-CN"/>
        </w:rPr>
        <w:t>”</w:t>
      </w:r>
      <w:r>
        <w:rPr>
          <w:rFonts w:hint="default" w:cs="Times New Roman"/>
          <w:szCs w:val="24"/>
          <w:lang w:val="en-US" w:eastAsia="zh-CN"/>
        </w:rPr>
        <w:t>，是基于多项关于地铁环境空气质量研究</w:t>
      </w:r>
      <w:r>
        <w:rPr>
          <w:rFonts w:hint="eastAsia" w:cs="Times New Roman"/>
          <w:szCs w:val="24"/>
          <w:lang w:val="en-US" w:eastAsia="zh-CN"/>
        </w:rPr>
        <w:t>的结论</w:t>
      </w:r>
      <w:r>
        <w:rPr>
          <w:rFonts w:hint="default" w:cs="Times New Roman"/>
          <w:szCs w:val="24"/>
          <w:lang w:val="en-US" w:eastAsia="zh-CN"/>
        </w:rPr>
        <w:t>。客流是影响</w:t>
      </w:r>
      <w:r>
        <w:rPr>
          <w:rFonts w:hint="eastAsia" w:cs="Times New Roman"/>
          <w:szCs w:val="24"/>
          <w:lang w:val="en-US" w:eastAsia="zh-CN"/>
        </w:rPr>
        <w:t>公共场所室内CO</w:t>
      </w:r>
      <w:r>
        <w:rPr>
          <w:rFonts w:hint="eastAsia" w:cs="Times New Roman"/>
          <w:szCs w:val="24"/>
          <w:vertAlign w:val="subscript"/>
          <w:lang w:val="en-US" w:eastAsia="zh-CN"/>
        </w:rPr>
        <w:t>2</w:t>
      </w:r>
      <w:r>
        <w:rPr>
          <w:rFonts w:hint="eastAsia" w:cs="Times New Roman"/>
          <w:szCs w:val="24"/>
          <w:lang w:val="en-US" w:eastAsia="zh-CN"/>
        </w:rPr>
        <w:t>、</w:t>
      </w:r>
      <w:r>
        <w:rPr>
          <w:rFonts w:hint="default" w:cs="Times New Roman"/>
          <w:szCs w:val="24"/>
          <w:lang w:val="en-US" w:eastAsia="zh-CN"/>
        </w:rPr>
        <w:t>颗粒物及</w:t>
      </w:r>
      <w:r>
        <w:rPr>
          <w:rFonts w:hint="eastAsia" w:cs="Times New Roman"/>
          <w:szCs w:val="24"/>
          <w:lang w:val="en-US" w:eastAsia="zh-CN"/>
        </w:rPr>
        <w:t>细菌总数</w:t>
      </w:r>
      <w:r>
        <w:rPr>
          <w:rFonts w:hint="default" w:cs="Times New Roman"/>
          <w:szCs w:val="24"/>
          <w:lang w:val="en-US" w:eastAsia="zh-CN"/>
        </w:rPr>
        <w:t>的主要变量</w:t>
      </w:r>
      <w:r>
        <w:rPr>
          <w:rStyle w:val="32"/>
          <w:rFonts w:hint="default" w:cs="Times New Roman"/>
          <w:szCs w:val="24"/>
          <w:lang w:val="en-US" w:eastAsia="zh-CN"/>
        </w:rPr>
        <w:t>[</w:t>
      </w:r>
      <w:r>
        <w:rPr>
          <w:rStyle w:val="32"/>
          <w:rFonts w:hint="default" w:cs="Times New Roman"/>
          <w:szCs w:val="24"/>
          <w:lang w:val="en-US" w:eastAsia="zh-CN"/>
        </w:rPr>
        <w:footnoteReference w:id="7"/>
      </w:r>
      <w:r>
        <w:rPr>
          <w:rStyle w:val="32"/>
          <w:rFonts w:hint="default" w:cs="Times New Roman"/>
          <w:szCs w:val="24"/>
          <w:lang w:val="en-US" w:eastAsia="zh-CN"/>
        </w:rPr>
        <w:t>]</w:t>
      </w:r>
      <w:r>
        <w:rPr>
          <w:rFonts w:hint="default" w:cs="Times New Roman"/>
          <w:szCs w:val="24"/>
          <w:lang w:val="en-US" w:eastAsia="zh-CN"/>
        </w:rPr>
        <w:t>，通风模式则直接决定空气稀释与置换效率。详细的现场调查是制定具有时空代表性采样方案的前提。</w:t>
      </w:r>
    </w:p>
    <w:p w14:paraId="4B831183">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（2）仪器设备准备与校准</w:t>
      </w:r>
    </w:p>
    <w:p w14:paraId="3E673B75">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依据现场调查方案准备静电场采样设备。每次采样前或按计划，应依据JJF 1826或使用经实验室校准的流量计对采样器流量进行校准，其示值误差应不超过±5%。辅助传感器应按其说明书要求进行校准或验证。</w:t>
      </w:r>
    </w:p>
    <w:p w14:paraId="12834C1C">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采样耗材应在无菌条件下准备，培养基需经121℃高压蒸汽灭菌15min后使用。</w:t>
      </w:r>
    </w:p>
    <w:p w14:paraId="17BBF7A9">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32AAB219">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该要求直接引用JJF 1826-2020《空气微生物采样器校准规范》中对采样流量示值误差的通用要求，是保证采样体积准确、数据可比性的计量学基础。</w:t>
      </w:r>
    </w:p>
    <w:p w14:paraId="5110DC70">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为保证现场样品后续用于培养法鉴定，要求采样耗材采用无菌操作，并参考</w:t>
      </w:r>
      <w:r>
        <w:rPr>
          <w:rFonts w:hint="default" w:cs="Times New Roman"/>
          <w:szCs w:val="24"/>
          <w:lang w:val="en-US" w:eastAsia="zh-CN"/>
        </w:rPr>
        <w:t xml:space="preserve">GB/T 18204.3 </w:t>
      </w:r>
      <w:r>
        <w:rPr>
          <w:rFonts w:hint="eastAsia" w:cs="Times New Roman"/>
          <w:szCs w:val="24"/>
          <w:lang w:val="en-US" w:eastAsia="zh-CN"/>
        </w:rPr>
        <w:t>《</w:t>
      </w:r>
      <w:r>
        <w:rPr>
          <w:rFonts w:hint="default" w:cs="Times New Roman"/>
          <w:szCs w:val="24"/>
          <w:lang w:val="en-US" w:eastAsia="zh-CN"/>
        </w:rPr>
        <w:t>公共场所卫生检验方法 第3部分：空气微生物</w:t>
      </w:r>
      <w:r>
        <w:rPr>
          <w:rFonts w:hint="eastAsia" w:cs="Times New Roman"/>
          <w:szCs w:val="24"/>
          <w:lang w:val="en-US" w:eastAsia="zh-CN"/>
        </w:rPr>
        <w:t>》给出了建议的灭菌条件。</w:t>
      </w:r>
    </w:p>
    <w:p w14:paraId="610AED10">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（3）</w:t>
      </w:r>
      <w:r>
        <w:rPr>
          <w:rFonts w:hint="default" w:cs="Times New Roman"/>
          <w:szCs w:val="24"/>
          <w:lang w:val="en-US" w:eastAsia="zh-CN"/>
        </w:rPr>
        <w:t>人员培训与防护</w:t>
      </w:r>
    </w:p>
    <w:p w14:paraId="16240909">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采样人员应接受生物安全、采样技术及设备操作培训，熟练掌握智能采样系统的操作流程、个人防护用品的使用以及应急处理措施。现场操作时个人防护及废弃物处置应符合GB 19489的要求。</w:t>
      </w:r>
    </w:p>
    <w:p w14:paraId="64F2EA86">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145690BB">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本要求是对现场采样人员培训和防护的要求，个人防护及废弃物处理要求符合</w:t>
      </w:r>
      <w:r>
        <w:rPr>
          <w:rFonts w:hint="default" w:cs="Times New Roman"/>
          <w:szCs w:val="24"/>
          <w:lang w:val="en-US" w:eastAsia="zh-CN"/>
        </w:rPr>
        <w:t>GB 19489</w:t>
      </w:r>
      <w:r>
        <w:rPr>
          <w:rFonts w:hint="eastAsia" w:cs="Times New Roman"/>
          <w:szCs w:val="24"/>
          <w:lang w:val="en-US" w:eastAsia="zh-CN"/>
        </w:rPr>
        <w:t>要求。GB 19489是</w:t>
      </w:r>
      <w:r>
        <w:rPr>
          <w:rFonts w:hint="default" w:cs="Times New Roman"/>
          <w:szCs w:val="24"/>
          <w:lang w:val="en-US" w:eastAsia="zh-CN"/>
        </w:rPr>
        <w:t>处理潜在病原体样本时必须遵守的</w:t>
      </w:r>
      <w:r>
        <w:rPr>
          <w:rFonts w:hint="eastAsia" w:cs="Times New Roman"/>
          <w:szCs w:val="24"/>
          <w:lang w:val="en-US" w:eastAsia="zh-CN"/>
        </w:rPr>
        <w:t>强制</w:t>
      </w:r>
      <w:r>
        <w:rPr>
          <w:rFonts w:hint="default" w:cs="Times New Roman"/>
          <w:szCs w:val="24"/>
          <w:lang w:val="en-US" w:eastAsia="zh-CN"/>
        </w:rPr>
        <w:t>安全规范</w:t>
      </w:r>
      <w:r>
        <w:rPr>
          <w:rFonts w:hint="eastAsia" w:cs="Times New Roman"/>
          <w:szCs w:val="24"/>
          <w:lang w:val="en-US" w:eastAsia="zh-CN"/>
        </w:rPr>
        <w:t>，</w:t>
      </w:r>
      <w:r>
        <w:rPr>
          <w:rFonts w:hint="default" w:cs="Times New Roman"/>
          <w:szCs w:val="24"/>
          <w:lang w:val="en-US" w:eastAsia="zh-CN"/>
        </w:rPr>
        <w:t>GB 19489规定了不同风险等级微生物操作的生物安全要求，</w:t>
      </w:r>
      <w:r>
        <w:rPr>
          <w:rFonts w:hint="eastAsia" w:cs="Times New Roman"/>
          <w:szCs w:val="24"/>
          <w:lang w:val="en-US" w:eastAsia="zh-CN"/>
        </w:rPr>
        <w:t>本标准只引用个人防护和废弃物处置的要求</w:t>
      </w:r>
      <w:r>
        <w:rPr>
          <w:rFonts w:hint="default" w:cs="Times New Roman"/>
          <w:szCs w:val="24"/>
          <w:lang w:val="en-US" w:eastAsia="zh-CN"/>
        </w:rPr>
        <w:t>，以确保</w:t>
      </w:r>
      <w:r>
        <w:rPr>
          <w:rFonts w:hint="eastAsia" w:cs="Times New Roman"/>
          <w:szCs w:val="24"/>
          <w:lang w:val="en-US" w:eastAsia="zh-CN"/>
        </w:rPr>
        <w:t>采样</w:t>
      </w:r>
      <w:r>
        <w:rPr>
          <w:rFonts w:hint="default" w:cs="Times New Roman"/>
          <w:szCs w:val="24"/>
          <w:lang w:val="en-US" w:eastAsia="zh-CN"/>
        </w:rPr>
        <w:t>人员及公众</w:t>
      </w:r>
      <w:r>
        <w:rPr>
          <w:rFonts w:hint="eastAsia" w:cs="Times New Roman"/>
          <w:szCs w:val="24"/>
          <w:lang w:val="en-US" w:eastAsia="zh-CN"/>
        </w:rPr>
        <w:t>环境</w:t>
      </w:r>
      <w:r>
        <w:rPr>
          <w:rFonts w:hint="default" w:cs="Times New Roman"/>
          <w:szCs w:val="24"/>
          <w:lang w:val="en-US" w:eastAsia="zh-CN"/>
        </w:rPr>
        <w:t>安全。</w:t>
      </w:r>
    </w:p>
    <w:p w14:paraId="53B3AB42">
      <w:pPr>
        <w:pStyle w:val="4"/>
        <w:bidi w:val="0"/>
        <w:rPr>
          <w:rFonts w:hint="default"/>
          <w:lang w:val="en-US" w:eastAsia="zh-CN"/>
        </w:rPr>
      </w:pPr>
      <w:bookmarkStart w:id="127" w:name="_Toc27858"/>
      <w:r>
        <w:rPr>
          <w:rFonts w:hint="eastAsia"/>
          <w:lang w:val="en-US" w:eastAsia="zh-CN"/>
        </w:rPr>
        <w:t>6.采样点布设</w:t>
      </w:r>
      <w:bookmarkEnd w:id="127"/>
    </w:p>
    <w:p w14:paraId="2AD55856">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（1）布点原则</w:t>
      </w:r>
    </w:p>
    <w:p w14:paraId="55283575">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应根据区域功能、人流密度、空气流通状况确定采样点。应重点覆盖进/排风口附近、自助售票/检票区、站台候车区域、公共卫生间、设备区出入口等关键位置。</w:t>
      </w:r>
    </w:p>
    <w:p w14:paraId="40CF70D8">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2CED9EEC">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布点原则</w:t>
      </w:r>
      <w:r>
        <w:rPr>
          <w:rFonts w:hint="default" w:cs="Times New Roman"/>
          <w:szCs w:val="24"/>
          <w:lang w:val="en-US" w:eastAsia="zh-CN"/>
        </w:rPr>
        <w:t>要求重点覆盖</w:t>
      </w:r>
      <w:r>
        <w:rPr>
          <w:rFonts w:hint="eastAsia" w:cs="Times New Roman"/>
          <w:szCs w:val="24"/>
          <w:lang w:val="en-US" w:eastAsia="zh-CN"/>
        </w:rPr>
        <w:t>“</w:t>
      </w:r>
      <w:r>
        <w:rPr>
          <w:rFonts w:hint="default" w:cs="Times New Roman"/>
          <w:szCs w:val="24"/>
          <w:lang w:val="en-US" w:eastAsia="zh-CN"/>
        </w:rPr>
        <w:t>进/排风口</w:t>
      </w:r>
      <w:r>
        <w:rPr>
          <w:rFonts w:hint="eastAsia" w:cs="Times New Roman"/>
          <w:szCs w:val="24"/>
          <w:lang w:val="en-US" w:eastAsia="zh-CN"/>
        </w:rPr>
        <w:t>”“</w:t>
      </w:r>
      <w:r>
        <w:rPr>
          <w:rFonts w:hint="default" w:cs="Times New Roman"/>
          <w:szCs w:val="24"/>
          <w:lang w:val="en-US" w:eastAsia="zh-CN"/>
        </w:rPr>
        <w:t>自助售票/检票区</w:t>
      </w:r>
      <w:r>
        <w:rPr>
          <w:rFonts w:hint="eastAsia" w:cs="Times New Roman"/>
          <w:szCs w:val="24"/>
          <w:lang w:val="en-US" w:eastAsia="zh-CN"/>
        </w:rPr>
        <w:t>”“</w:t>
      </w:r>
      <w:r>
        <w:rPr>
          <w:rFonts w:hint="default" w:cs="Times New Roman"/>
          <w:szCs w:val="24"/>
          <w:lang w:val="en-US" w:eastAsia="zh-CN"/>
        </w:rPr>
        <w:t>站台候车区域</w:t>
      </w:r>
      <w:r>
        <w:rPr>
          <w:rFonts w:hint="eastAsia" w:cs="Times New Roman"/>
          <w:szCs w:val="24"/>
          <w:lang w:val="en-US" w:eastAsia="zh-CN"/>
        </w:rPr>
        <w:t>”“</w:t>
      </w:r>
      <w:r>
        <w:rPr>
          <w:rFonts w:hint="default" w:cs="Times New Roman"/>
          <w:szCs w:val="24"/>
          <w:lang w:val="en-US" w:eastAsia="zh-CN"/>
        </w:rPr>
        <w:t>公共卫生间</w:t>
      </w:r>
      <w:r>
        <w:rPr>
          <w:rFonts w:hint="eastAsia" w:cs="Times New Roman"/>
          <w:szCs w:val="24"/>
          <w:lang w:val="en-US" w:eastAsia="zh-CN"/>
        </w:rPr>
        <w:t>”“</w:t>
      </w:r>
      <w:r>
        <w:rPr>
          <w:rFonts w:hint="default" w:cs="Times New Roman"/>
          <w:szCs w:val="24"/>
          <w:lang w:val="en-US" w:eastAsia="zh-CN"/>
        </w:rPr>
        <w:t>设备区出入口</w:t>
      </w:r>
      <w:r>
        <w:rPr>
          <w:rFonts w:hint="eastAsia" w:cs="Times New Roman"/>
          <w:szCs w:val="24"/>
          <w:lang w:val="en-US" w:eastAsia="zh-CN"/>
        </w:rPr>
        <w:t>”</w:t>
      </w:r>
      <w:r>
        <w:rPr>
          <w:rFonts w:hint="default" w:cs="Times New Roman"/>
          <w:szCs w:val="24"/>
          <w:lang w:val="en-US" w:eastAsia="zh-CN"/>
        </w:rPr>
        <w:t>，</w:t>
      </w:r>
      <w:r>
        <w:rPr>
          <w:rFonts w:hint="eastAsia" w:cs="Times New Roman"/>
          <w:szCs w:val="24"/>
          <w:lang w:val="en-US" w:eastAsia="zh-CN"/>
        </w:rPr>
        <w:t>主要</w:t>
      </w:r>
      <w:r>
        <w:rPr>
          <w:rFonts w:hint="default" w:cs="Times New Roman"/>
          <w:szCs w:val="24"/>
          <w:lang w:val="en-US" w:eastAsia="zh-CN"/>
        </w:rPr>
        <w:t>是基于暴露风险评估和空气传播规律</w:t>
      </w:r>
      <w:r>
        <w:rPr>
          <w:rFonts w:hint="eastAsia" w:cs="Times New Roman"/>
          <w:szCs w:val="24"/>
          <w:lang w:val="en-US" w:eastAsia="zh-CN"/>
        </w:rPr>
        <w:t>。</w:t>
      </w:r>
      <w:r>
        <w:rPr>
          <w:rFonts w:hint="default" w:cs="Times New Roman"/>
          <w:szCs w:val="24"/>
          <w:lang w:val="en-US" w:eastAsia="zh-CN"/>
        </w:rPr>
        <w:t>进/排风口是外部空气与室内空气交换的界面，可能反映输入性风险</w:t>
      </w:r>
      <w:r>
        <w:rPr>
          <w:rFonts w:hint="eastAsia" w:cs="Times New Roman"/>
          <w:szCs w:val="24"/>
          <w:lang w:val="en-US" w:eastAsia="zh-CN"/>
        </w:rPr>
        <w:t>；</w:t>
      </w:r>
      <w:r>
        <w:rPr>
          <w:rFonts w:hint="default" w:cs="Times New Roman"/>
          <w:szCs w:val="24"/>
          <w:lang w:val="en-US" w:eastAsia="zh-CN"/>
        </w:rPr>
        <w:t>售票/检票区</w:t>
      </w:r>
      <w:r>
        <w:rPr>
          <w:rFonts w:hint="eastAsia" w:cs="Times New Roman"/>
          <w:szCs w:val="24"/>
          <w:lang w:val="en-US" w:eastAsia="zh-CN"/>
        </w:rPr>
        <w:t>和</w:t>
      </w:r>
      <w:r>
        <w:rPr>
          <w:rFonts w:hint="default" w:cs="Times New Roman"/>
          <w:szCs w:val="24"/>
          <w:lang w:val="en-US" w:eastAsia="zh-CN"/>
        </w:rPr>
        <w:t>站台候车区</w:t>
      </w:r>
      <w:r>
        <w:rPr>
          <w:rFonts w:hint="eastAsia" w:cs="Times New Roman"/>
          <w:szCs w:val="24"/>
          <w:lang w:val="en-US" w:eastAsia="zh-CN"/>
        </w:rPr>
        <w:t>的</w:t>
      </w:r>
      <w:r>
        <w:rPr>
          <w:rFonts w:hint="default" w:cs="Times New Roman"/>
          <w:szCs w:val="24"/>
          <w:lang w:val="en-US" w:eastAsia="zh-CN"/>
        </w:rPr>
        <w:t>人员密集</w:t>
      </w:r>
      <w:r>
        <w:rPr>
          <w:rFonts w:hint="eastAsia" w:cs="Times New Roman"/>
          <w:szCs w:val="24"/>
          <w:lang w:val="en-US" w:eastAsia="zh-CN"/>
        </w:rPr>
        <w:t>且</w:t>
      </w:r>
      <w:r>
        <w:rPr>
          <w:rFonts w:hint="default" w:cs="Times New Roman"/>
          <w:szCs w:val="24"/>
          <w:lang w:val="en-US" w:eastAsia="zh-CN"/>
        </w:rPr>
        <w:t>停留时间相对较长，是乘客的主要暴露区域</w:t>
      </w:r>
      <w:r>
        <w:rPr>
          <w:rFonts w:hint="eastAsia" w:cs="Times New Roman"/>
          <w:szCs w:val="24"/>
          <w:lang w:val="en-US" w:eastAsia="zh-CN"/>
        </w:rPr>
        <w:t>；</w:t>
      </w:r>
      <w:r>
        <w:rPr>
          <w:rFonts w:hint="default" w:cs="Times New Roman"/>
          <w:szCs w:val="24"/>
          <w:lang w:val="en-US" w:eastAsia="zh-CN"/>
        </w:rPr>
        <w:t>公共卫生间</w:t>
      </w:r>
      <w:r>
        <w:rPr>
          <w:rFonts w:hint="eastAsia" w:cs="Times New Roman"/>
          <w:szCs w:val="24"/>
          <w:lang w:val="en-US" w:eastAsia="zh-CN"/>
        </w:rPr>
        <w:t>的环境健康情境特点是</w:t>
      </w:r>
      <w:r>
        <w:rPr>
          <w:rFonts w:hint="default" w:cs="Times New Roman"/>
          <w:szCs w:val="24"/>
          <w:lang w:val="en-US" w:eastAsia="zh-CN"/>
        </w:rPr>
        <w:t>空间密闭、湿度高，可能成为微生物滋生的特殊环境</w:t>
      </w:r>
      <w:r>
        <w:rPr>
          <w:rFonts w:hint="eastAsia" w:cs="Times New Roman"/>
          <w:szCs w:val="24"/>
          <w:lang w:val="en-US" w:eastAsia="zh-CN"/>
        </w:rPr>
        <w:t>；</w:t>
      </w:r>
      <w:r>
        <w:rPr>
          <w:rFonts w:hint="default" w:cs="Times New Roman"/>
          <w:szCs w:val="24"/>
          <w:lang w:val="en-US" w:eastAsia="zh-CN"/>
        </w:rPr>
        <w:t>设备区出入口</w:t>
      </w:r>
      <w:r>
        <w:rPr>
          <w:rFonts w:hint="eastAsia" w:cs="Times New Roman"/>
          <w:szCs w:val="24"/>
          <w:lang w:val="en-US" w:eastAsia="zh-CN"/>
        </w:rPr>
        <w:t>是</w:t>
      </w:r>
      <w:r>
        <w:rPr>
          <w:rFonts w:hint="default" w:cs="Times New Roman"/>
          <w:szCs w:val="24"/>
          <w:lang w:val="en-US" w:eastAsia="zh-CN"/>
        </w:rPr>
        <w:t>连接公共区与非公共区</w:t>
      </w:r>
      <w:r>
        <w:rPr>
          <w:rFonts w:hint="eastAsia" w:cs="Times New Roman"/>
          <w:szCs w:val="24"/>
          <w:lang w:val="en-US" w:eastAsia="zh-CN"/>
        </w:rPr>
        <w:t>的分割处</w:t>
      </w:r>
      <w:r>
        <w:rPr>
          <w:rFonts w:hint="default" w:cs="Times New Roman"/>
          <w:szCs w:val="24"/>
          <w:lang w:val="en-US" w:eastAsia="zh-CN"/>
        </w:rPr>
        <w:t>，可能反映不同功能区间的交叉影响。</w:t>
      </w:r>
    </w:p>
    <w:p w14:paraId="2EA70F85">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（2）布点数量</w:t>
      </w:r>
    </w:p>
    <w:p w14:paraId="79E997A7">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站厅、站台等公共区域，可参照GB/T 18204.6的规定按每1000m</w:t>
      </w:r>
      <w:r>
        <w:rPr>
          <w:rFonts w:hint="eastAsia" w:cs="Times New Roman"/>
          <w:szCs w:val="24"/>
          <w:vertAlign w:val="superscript"/>
          <w:lang w:val="en-US" w:eastAsia="zh-CN"/>
        </w:rPr>
        <w:t>2</w:t>
      </w:r>
      <w:r>
        <w:rPr>
          <w:rFonts w:hint="eastAsia" w:cs="Times New Roman"/>
          <w:szCs w:val="24"/>
          <w:lang w:val="en-US" w:eastAsia="zh-CN"/>
        </w:rPr>
        <w:t>设置3个采样点为基础，并根据人流密度、结构复杂性酌情增加。集中空调通风系统的采样点布设应按GB/T 18204.5执行。</w:t>
      </w:r>
    </w:p>
    <w:p w14:paraId="6246DE28">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6CFA56F8">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布点数量</w:t>
      </w:r>
      <w:r>
        <w:rPr>
          <w:rFonts w:hint="default" w:cs="Times New Roman"/>
          <w:szCs w:val="24"/>
          <w:lang w:val="en-US" w:eastAsia="zh-CN"/>
        </w:rPr>
        <w:t>参照GB/T 18204.6《公共场所卫生检验方法 第6部分：卫生监测技术规范》中关于候车</w:t>
      </w:r>
      <w:r>
        <w:rPr>
          <w:rFonts w:hint="eastAsia" w:cs="Times New Roman"/>
          <w:szCs w:val="24"/>
          <w:lang w:val="en-US" w:eastAsia="zh-CN"/>
        </w:rPr>
        <w:t>（</w:t>
      </w:r>
      <w:r>
        <w:rPr>
          <w:rFonts w:hint="default" w:cs="Times New Roman"/>
          <w:szCs w:val="24"/>
          <w:lang w:val="en-US" w:eastAsia="zh-CN"/>
        </w:rPr>
        <w:t>机、船</w:t>
      </w:r>
      <w:r>
        <w:rPr>
          <w:rFonts w:hint="eastAsia" w:cs="Times New Roman"/>
          <w:szCs w:val="24"/>
          <w:lang w:val="en-US" w:eastAsia="zh-CN"/>
        </w:rPr>
        <w:t>）</w:t>
      </w:r>
      <w:r>
        <w:rPr>
          <w:rFonts w:hint="default" w:cs="Times New Roman"/>
          <w:szCs w:val="24"/>
          <w:lang w:val="en-US" w:eastAsia="zh-CN"/>
        </w:rPr>
        <w:t>室等场所空气监测的</w:t>
      </w:r>
      <w:r>
        <w:rPr>
          <w:rFonts w:hint="eastAsia" w:cs="Times New Roman"/>
          <w:szCs w:val="24"/>
          <w:lang w:val="en-US" w:eastAsia="zh-CN"/>
        </w:rPr>
        <w:t>监测频次和样本量</w:t>
      </w:r>
      <w:r>
        <w:rPr>
          <w:rFonts w:hint="default" w:cs="Times New Roman"/>
          <w:szCs w:val="24"/>
          <w:lang w:val="en-US" w:eastAsia="zh-CN"/>
        </w:rPr>
        <w:t>建议</w:t>
      </w:r>
      <w:r>
        <w:rPr>
          <w:rFonts w:hint="eastAsia" w:cs="Times New Roman"/>
          <w:szCs w:val="24"/>
          <w:lang w:val="en-US" w:eastAsia="zh-CN"/>
        </w:rPr>
        <w:t>（营业面积&gt;1000m</w:t>
      </w:r>
      <w:r>
        <w:rPr>
          <w:rFonts w:hint="eastAsia" w:cs="Times New Roman"/>
          <w:szCs w:val="24"/>
          <w:vertAlign w:val="superscript"/>
          <w:lang w:val="en-US" w:eastAsia="zh-CN"/>
        </w:rPr>
        <w:t>2</w:t>
      </w:r>
      <w:r>
        <w:rPr>
          <w:rFonts w:hint="eastAsia" w:cs="Times New Roman"/>
          <w:szCs w:val="24"/>
          <w:lang w:val="en-US" w:eastAsia="zh-CN"/>
        </w:rPr>
        <w:t xml:space="preserve"> 的场所布置3个测点）</w:t>
      </w:r>
      <w:r>
        <w:rPr>
          <w:rFonts w:hint="default" w:cs="Times New Roman"/>
          <w:szCs w:val="24"/>
          <w:lang w:val="en-US" w:eastAsia="zh-CN"/>
        </w:rPr>
        <w:t>，并允许根据</w:t>
      </w:r>
      <w:r>
        <w:rPr>
          <w:rFonts w:hint="eastAsia" w:cs="Times New Roman"/>
          <w:szCs w:val="24"/>
          <w:lang w:val="en-US" w:eastAsia="zh-CN"/>
        </w:rPr>
        <w:t>“</w:t>
      </w:r>
      <w:r>
        <w:rPr>
          <w:rFonts w:hint="default" w:cs="Times New Roman"/>
          <w:szCs w:val="24"/>
          <w:lang w:val="en-US" w:eastAsia="zh-CN"/>
        </w:rPr>
        <w:t>人流密度、结构复杂性</w:t>
      </w:r>
      <w:r>
        <w:rPr>
          <w:rFonts w:hint="eastAsia" w:cs="Times New Roman"/>
          <w:szCs w:val="24"/>
          <w:lang w:val="en-US" w:eastAsia="zh-CN"/>
        </w:rPr>
        <w:t>”进行酌情</w:t>
      </w:r>
      <w:r>
        <w:rPr>
          <w:rFonts w:hint="default" w:cs="Times New Roman"/>
          <w:szCs w:val="24"/>
          <w:lang w:val="en-US" w:eastAsia="zh-CN"/>
        </w:rPr>
        <w:t>增加，体现了原则性与灵活性的结合。</w:t>
      </w:r>
    </w:p>
    <w:p w14:paraId="30D341CE">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（3）采样点位置与高度</w:t>
      </w:r>
    </w:p>
    <w:p w14:paraId="319DFA90">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采样高度宜设在人员呼吸带高度，距地面0.8m~1.5m。应避开通风口、通风道等气流直接冲击的位置。</w:t>
      </w:r>
    </w:p>
    <w:p w14:paraId="168DDF69">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55B82535">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采样点位置与高度参照</w:t>
      </w:r>
      <w:r>
        <w:rPr>
          <w:rFonts w:hint="default" w:cs="Times New Roman"/>
          <w:szCs w:val="24"/>
          <w:lang w:val="en-US" w:eastAsia="zh-CN"/>
        </w:rPr>
        <w:t xml:space="preserve">GB/T 18204.3 </w:t>
      </w:r>
      <w:r>
        <w:rPr>
          <w:rFonts w:hint="eastAsia" w:cs="Times New Roman"/>
          <w:szCs w:val="24"/>
          <w:lang w:val="en-US" w:eastAsia="zh-CN"/>
        </w:rPr>
        <w:t>《</w:t>
      </w:r>
      <w:r>
        <w:rPr>
          <w:rFonts w:hint="default" w:cs="Times New Roman"/>
          <w:szCs w:val="24"/>
          <w:lang w:val="en-US" w:eastAsia="zh-CN"/>
        </w:rPr>
        <w:t>公共场所卫生检验方法 第3部分：空气微生物</w:t>
      </w:r>
      <w:r>
        <w:rPr>
          <w:rFonts w:hint="eastAsia" w:cs="Times New Roman"/>
          <w:szCs w:val="24"/>
          <w:lang w:val="en-US" w:eastAsia="zh-CN"/>
        </w:rPr>
        <w:t>》附录A采样高度的要求（</w:t>
      </w:r>
      <w:r>
        <w:rPr>
          <w:rFonts w:hint="default" w:cs="Times New Roman"/>
          <w:szCs w:val="24"/>
          <w:lang w:val="en-US" w:eastAsia="zh-CN"/>
        </w:rPr>
        <w:t>采样点原则上应与成人的呼吸带的高度相一致</w:t>
      </w:r>
      <w:r>
        <w:rPr>
          <w:rFonts w:hint="eastAsia" w:cs="Times New Roman"/>
          <w:szCs w:val="24"/>
          <w:lang w:val="en-US" w:eastAsia="zh-CN"/>
        </w:rPr>
        <w:t>，</w:t>
      </w:r>
      <w:r>
        <w:rPr>
          <w:rFonts w:hint="default" w:cs="Times New Roman"/>
          <w:szCs w:val="24"/>
          <w:lang w:val="en-US" w:eastAsia="zh-CN"/>
        </w:rPr>
        <w:t>在距离地面1.2m~1.5m 之间</w:t>
      </w:r>
      <w:r>
        <w:rPr>
          <w:rFonts w:hint="eastAsia" w:cs="Times New Roman"/>
          <w:szCs w:val="24"/>
          <w:lang w:val="en-US" w:eastAsia="zh-CN"/>
        </w:rPr>
        <w:t>）。考虑到儿童乘客身高，本文件将距离地面高度调整为0.8m~1.5m。参照GB/T 18204.3布点方式要求（采样点应避开通风口、通风道和热源）要求地铁场站布点应避开通风口、通风道等气流直接冲击的位置，考虑到地铁场站热源较少，未将热源纳入本文件。</w:t>
      </w:r>
    </w:p>
    <w:p w14:paraId="3678331C">
      <w:pPr>
        <w:pStyle w:val="4"/>
        <w:bidi w:val="0"/>
        <w:rPr>
          <w:rFonts w:hint="default"/>
          <w:lang w:val="en-US" w:eastAsia="zh-CN"/>
        </w:rPr>
      </w:pPr>
      <w:bookmarkStart w:id="128" w:name="_Toc30102"/>
      <w:r>
        <w:rPr>
          <w:rFonts w:hint="eastAsia"/>
          <w:lang w:val="en-US" w:eastAsia="zh-CN"/>
        </w:rPr>
        <w:t>7.采样方法与步骤</w:t>
      </w:r>
      <w:bookmarkEnd w:id="128"/>
    </w:p>
    <w:p w14:paraId="4161A8FF">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（1）采样环境工况</w:t>
      </w:r>
    </w:p>
    <w:p w14:paraId="4DBEE437">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地铁站台、站厅等应在车站正常运营时段、保持原有通风与环境状态下进行采样，以反映实际暴露水平。对于设备区、办公室等可封闭空间，可在关闭门窗15min~30min后采样。</w:t>
      </w:r>
    </w:p>
    <w:p w14:paraId="5D7BDF0C">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1B1873DD">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GB/T 18204.3 4.1.4规定了“采样时关闭门窗15min~30min，在难以关闭门窗的公共场所（如商场、候车室等）采样时，应保持当时的环境状态。记录室内空调等设备运行状况、门窗状况、人员数量、温湿度及天气状况等”。本条文</w:t>
      </w:r>
      <w:r>
        <w:rPr>
          <w:rFonts w:hint="default" w:cs="Times New Roman"/>
          <w:szCs w:val="24"/>
          <w:lang w:val="en-US" w:eastAsia="zh-CN"/>
        </w:rPr>
        <w:t>规定站厅/站台</w:t>
      </w:r>
      <w:r>
        <w:rPr>
          <w:rFonts w:hint="eastAsia" w:cs="Times New Roman"/>
          <w:szCs w:val="24"/>
          <w:lang w:val="en-US" w:eastAsia="zh-CN"/>
        </w:rPr>
        <w:t>等区域需</w:t>
      </w:r>
      <w:r>
        <w:rPr>
          <w:rFonts w:hint="default" w:cs="Times New Roman"/>
          <w:szCs w:val="24"/>
          <w:lang w:val="en-US" w:eastAsia="zh-CN"/>
        </w:rPr>
        <w:t>在</w:t>
      </w:r>
      <w:r>
        <w:rPr>
          <w:rFonts w:hint="eastAsia" w:cs="Times New Roman"/>
          <w:szCs w:val="24"/>
          <w:lang w:val="en-US" w:eastAsia="zh-CN"/>
        </w:rPr>
        <w:t>车站“</w:t>
      </w:r>
      <w:r>
        <w:rPr>
          <w:rFonts w:hint="default" w:cs="Times New Roman"/>
          <w:szCs w:val="24"/>
          <w:lang w:val="en-US" w:eastAsia="zh-CN"/>
        </w:rPr>
        <w:t>正常运营时段</w:t>
      </w:r>
      <w:r>
        <w:rPr>
          <w:rFonts w:hint="eastAsia" w:cs="Times New Roman"/>
          <w:szCs w:val="24"/>
          <w:lang w:val="en-US" w:eastAsia="zh-CN"/>
        </w:rPr>
        <w:t>”</w:t>
      </w:r>
      <w:r>
        <w:rPr>
          <w:rFonts w:hint="default" w:cs="Times New Roman"/>
          <w:szCs w:val="24"/>
          <w:lang w:val="en-US" w:eastAsia="zh-CN"/>
        </w:rPr>
        <w:t>采样，是为了评估乘客和工作人员的真实暴露风险，是健康风险评估的</w:t>
      </w:r>
      <w:r>
        <w:rPr>
          <w:rFonts w:hint="eastAsia" w:cs="Times New Roman"/>
          <w:szCs w:val="24"/>
          <w:lang w:val="en-US" w:eastAsia="zh-CN"/>
        </w:rPr>
        <w:t>基本要求</w:t>
      </w:r>
      <w:r>
        <w:rPr>
          <w:rFonts w:hint="default" w:cs="Times New Roman"/>
          <w:szCs w:val="24"/>
          <w:lang w:val="en-US" w:eastAsia="zh-CN"/>
        </w:rPr>
        <w:t>。对于设备区</w:t>
      </w:r>
      <w:r>
        <w:rPr>
          <w:rFonts w:hint="eastAsia" w:cs="Times New Roman"/>
          <w:szCs w:val="24"/>
          <w:lang w:val="en-US" w:eastAsia="zh-CN"/>
        </w:rPr>
        <w:t>、办公区</w:t>
      </w:r>
      <w:r>
        <w:rPr>
          <w:rFonts w:hint="default" w:cs="Times New Roman"/>
          <w:szCs w:val="24"/>
          <w:lang w:val="en-US" w:eastAsia="zh-CN"/>
        </w:rPr>
        <w:t>等可封闭空间，要求关闭门窗15</w:t>
      </w:r>
      <w:r>
        <w:rPr>
          <w:rFonts w:hint="eastAsia" w:cs="Times New Roman"/>
          <w:szCs w:val="24"/>
          <w:lang w:val="en-US" w:eastAsia="zh-CN"/>
        </w:rPr>
        <w:t>~3</w:t>
      </w:r>
      <w:r>
        <w:rPr>
          <w:rFonts w:hint="default" w:cs="Times New Roman"/>
          <w:szCs w:val="24"/>
          <w:lang w:val="en-US" w:eastAsia="zh-CN"/>
        </w:rPr>
        <w:t>0分钟后采样，是为了在相对静态条件下评估本底浓度或特定污染源的影响。</w:t>
      </w:r>
    </w:p>
    <w:p w14:paraId="09B376A6">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（2）采样参数设置</w:t>
      </w:r>
    </w:p>
    <w:p w14:paraId="23905046">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在无菌操作前提下，根据所选采集介质设置合适的采样流量（通常5L/min）和时间（5min~15min）。启动采样时，智能传感与数据传输单元应同步工作。当人员无法进行现场，支持远程参数设置与启动。</w:t>
      </w:r>
    </w:p>
    <w:p w14:paraId="62F3D099">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编制依据：</w:t>
      </w:r>
    </w:p>
    <w:p w14:paraId="3108A78D">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采样</w:t>
      </w:r>
      <w:r>
        <w:rPr>
          <w:rFonts w:hint="default" w:cs="Times New Roman"/>
          <w:szCs w:val="24"/>
          <w:lang w:val="en-US" w:eastAsia="zh-CN"/>
        </w:rPr>
        <w:t>参数范围是基于保证采集到足够用于后续PCR、培养等分析所需的样本量</w:t>
      </w:r>
      <w:r>
        <w:rPr>
          <w:rFonts w:hint="eastAsia" w:cs="Times New Roman"/>
          <w:szCs w:val="24"/>
          <w:lang w:val="en-US" w:eastAsia="zh-CN"/>
        </w:rPr>
        <w:t>，</w:t>
      </w:r>
      <w:r>
        <w:rPr>
          <w:rFonts w:hint="default" w:cs="Times New Roman"/>
          <w:szCs w:val="24"/>
          <w:lang w:val="en-US" w:eastAsia="zh-CN"/>
        </w:rPr>
        <w:t>避免因采样时间过长导致采集液</w:t>
      </w:r>
      <w:r>
        <w:rPr>
          <w:rFonts w:hint="eastAsia" w:cs="Times New Roman"/>
          <w:szCs w:val="24"/>
          <w:lang w:val="en-US" w:eastAsia="zh-CN"/>
        </w:rPr>
        <w:t>等采集介质</w:t>
      </w:r>
      <w:r>
        <w:rPr>
          <w:rFonts w:hint="default" w:cs="Times New Roman"/>
          <w:szCs w:val="24"/>
          <w:lang w:val="en-US" w:eastAsia="zh-CN"/>
        </w:rPr>
        <w:t>蒸发或微生物失活</w:t>
      </w:r>
      <w:r>
        <w:rPr>
          <w:rFonts w:hint="eastAsia" w:cs="Times New Roman"/>
          <w:szCs w:val="24"/>
          <w:lang w:val="en-US" w:eastAsia="zh-CN"/>
        </w:rPr>
        <w:t>，且</w:t>
      </w:r>
      <w:r>
        <w:rPr>
          <w:rFonts w:hint="default" w:cs="Times New Roman"/>
          <w:szCs w:val="24"/>
          <w:lang w:val="en-US" w:eastAsia="zh-CN"/>
        </w:rPr>
        <w:t>与静电吸附采样器的额定工作参数匹配。具体时间可根据现场预估浓度进行调整。</w:t>
      </w:r>
    </w:p>
    <w:p w14:paraId="1A28FC14">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为体现智能化采样的先进性，建议启动采样时，智能传感与数据传输单元同步工作，且能实现远程参数设置。远程参数设置是针对地铁场站特殊运营环境（如深夜停运后、设备区不易进入）设计的灵活性保障，允许在人员无法到场，并确保人员安全的情况下完成采样，扩展了采样的覆盖范围。</w:t>
      </w:r>
    </w:p>
    <w:p w14:paraId="3F98852C">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（3）采样操作流程</w:t>
      </w:r>
    </w:p>
    <w:p w14:paraId="19DF1358">
      <w:pPr>
        <w:numPr>
          <w:ilvl w:val="0"/>
          <w:numId w:val="5"/>
        </w:numPr>
        <w:adjustRightInd w:val="0"/>
        <w:snapToGrid w:val="0"/>
        <w:spacing w:line="240" w:lineRule="auto"/>
        <w:ind w:left="425" w:leftChars="0" w:firstLine="55" w:firstLineChars="0"/>
        <w:rPr>
          <w:rFonts w:hint="eastAsia" w:cs="Times New Roman"/>
          <w:szCs w:val="24"/>
          <w:lang w:val="en-US" w:eastAsia="zh-CN"/>
        </w:rPr>
      </w:pPr>
      <w:r>
        <w:rPr>
          <w:rFonts w:hint="eastAsia" w:cs="Times New Roman"/>
          <w:szCs w:val="24"/>
          <w:lang w:val="en-US" w:eastAsia="zh-CN"/>
        </w:rPr>
        <w:t>在设备终端创建或选择采样任务，录入点位信息。</w:t>
      </w:r>
    </w:p>
    <w:p w14:paraId="689B54E6">
      <w:pPr>
        <w:numPr>
          <w:ilvl w:val="0"/>
          <w:numId w:val="5"/>
        </w:numPr>
        <w:adjustRightInd w:val="0"/>
        <w:snapToGrid w:val="0"/>
        <w:spacing w:line="240" w:lineRule="auto"/>
        <w:ind w:left="425" w:leftChars="0" w:firstLine="55" w:firstLineChars="0"/>
        <w:rPr>
          <w:rFonts w:hint="eastAsia" w:cs="Times New Roman"/>
          <w:szCs w:val="24"/>
          <w:lang w:val="en-US" w:eastAsia="zh-CN"/>
        </w:rPr>
      </w:pPr>
      <w:r>
        <w:rPr>
          <w:rFonts w:hint="eastAsia" w:cs="Times New Roman"/>
          <w:szCs w:val="24"/>
          <w:lang w:val="en-US" w:eastAsia="zh-CN"/>
        </w:rPr>
        <w:t>安装指定的无菌采集介质（如滤膜、培养皿或采样瓶），确保气路密封。</w:t>
      </w:r>
    </w:p>
    <w:p w14:paraId="26A9D29A">
      <w:pPr>
        <w:numPr>
          <w:ilvl w:val="0"/>
          <w:numId w:val="5"/>
        </w:numPr>
        <w:adjustRightInd w:val="0"/>
        <w:snapToGrid w:val="0"/>
        <w:spacing w:line="240" w:lineRule="auto"/>
        <w:ind w:left="425" w:leftChars="0" w:firstLine="55" w:firstLineChars="0"/>
        <w:rPr>
          <w:rFonts w:hint="eastAsia" w:cs="Times New Roman"/>
          <w:szCs w:val="24"/>
          <w:lang w:val="en-US" w:eastAsia="zh-CN"/>
        </w:rPr>
      </w:pPr>
      <w:r>
        <w:rPr>
          <w:rFonts w:hint="eastAsia" w:cs="Times New Roman"/>
          <w:szCs w:val="24"/>
          <w:lang w:val="en-US" w:eastAsia="zh-CN"/>
        </w:rPr>
        <w:t>设置采样流量、时间等参数，启动自动采样程序。系统自动记录开始时间、初始流量和实时环境数据。若需无人操作，可在放置采集介质后，远程进行采集控制。</w:t>
      </w:r>
    </w:p>
    <w:p w14:paraId="31096914">
      <w:pPr>
        <w:numPr>
          <w:ilvl w:val="0"/>
          <w:numId w:val="5"/>
        </w:numPr>
        <w:adjustRightInd w:val="0"/>
        <w:snapToGrid w:val="0"/>
        <w:spacing w:line="240" w:lineRule="auto"/>
        <w:ind w:left="425" w:leftChars="0" w:firstLine="55" w:firstLineChars="0"/>
        <w:rPr>
          <w:rFonts w:hint="eastAsia" w:cs="Times New Roman"/>
          <w:szCs w:val="24"/>
          <w:lang w:val="en-US" w:eastAsia="zh-CN"/>
        </w:rPr>
      </w:pPr>
      <w:r>
        <w:rPr>
          <w:rFonts w:hint="eastAsia" w:cs="Times New Roman"/>
          <w:szCs w:val="24"/>
          <w:lang w:val="en-US" w:eastAsia="zh-CN"/>
        </w:rPr>
        <w:t>采样结束后，设备自动停止并记录数据。小心取下采集介质，做好唯一标识。</w:t>
      </w:r>
    </w:p>
    <w:p w14:paraId="6B3A3783">
      <w:pPr>
        <w:numPr>
          <w:ilvl w:val="0"/>
          <w:numId w:val="5"/>
        </w:numPr>
        <w:adjustRightInd w:val="0"/>
        <w:snapToGrid w:val="0"/>
        <w:spacing w:line="240" w:lineRule="auto"/>
        <w:ind w:left="425" w:leftChars="0" w:firstLine="55" w:firstLineChars="0"/>
        <w:rPr>
          <w:rFonts w:hint="default" w:cs="Times New Roman"/>
          <w:szCs w:val="24"/>
          <w:lang w:val="en-US" w:eastAsia="zh-CN"/>
        </w:rPr>
      </w:pPr>
      <w:r>
        <w:rPr>
          <w:rFonts w:hint="eastAsia" w:cs="Times New Roman"/>
          <w:szCs w:val="24"/>
          <w:lang w:val="en-US" w:eastAsia="zh-CN"/>
        </w:rPr>
        <w:t>使用消毒湿巾或75%酒精棉片对设备接触表面进行擦拭消毒。</w:t>
      </w:r>
    </w:p>
    <w:p w14:paraId="53DB7B45">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编制依据：</w:t>
      </w:r>
    </w:p>
    <w:p w14:paraId="38BACFAC">
      <w:pPr>
        <w:adjustRightInd w:val="0"/>
        <w:snapToGrid w:val="0"/>
        <w:spacing w:line="240" w:lineRule="auto"/>
        <w:ind w:firstLine="480" w:firstLineChars="200"/>
        <w:rPr>
          <w:rFonts w:hint="eastAsia" w:ascii="仿宋" w:hAnsi="仿宋" w:eastAsia="仿宋" w:cs="仿宋"/>
          <w:szCs w:val="24"/>
          <w:lang w:val="en-US" w:eastAsia="zh-CN"/>
        </w:rPr>
      </w:pPr>
      <w:r>
        <w:rPr>
          <w:rFonts w:hint="eastAsia" w:ascii="仿宋" w:hAnsi="仿宋" w:eastAsia="仿宋" w:cs="仿宋"/>
          <w:szCs w:val="24"/>
          <w:lang w:val="en-US" w:eastAsia="zh-CN"/>
        </w:rPr>
        <w:t>本条文规定的五步操作流程，是确保地铁场站空气病原体现场智能采样工作规范性、一致性、可追溯性及生物安全性的核心程序。</w:t>
      </w:r>
    </w:p>
    <w:p w14:paraId="05AAD254">
      <w:pPr>
        <w:adjustRightInd w:val="0"/>
        <w:snapToGrid w:val="0"/>
        <w:spacing w:line="240" w:lineRule="auto"/>
        <w:ind w:firstLine="480" w:firstLineChars="200"/>
        <w:rPr>
          <w:rFonts w:hint="eastAsia" w:ascii="仿宋" w:hAnsi="仿宋" w:eastAsia="仿宋" w:cs="仿宋"/>
          <w:szCs w:val="24"/>
          <w:lang w:val="en-US" w:eastAsia="zh-CN"/>
        </w:rPr>
      </w:pPr>
      <w:r>
        <w:rPr>
          <w:rFonts w:hint="eastAsia" w:ascii="仿宋" w:hAnsi="仿宋" w:eastAsia="仿宋" w:cs="仿宋"/>
          <w:szCs w:val="24"/>
          <w:lang w:val="en-US" w:eastAsia="zh-CN"/>
        </w:rPr>
        <w:t>“在设备终端创建或选择采样任务，录入点位信息”。此</w:t>
      </w:r>
      <w:r>
        <w:rPr>
          <w:rFonts w:hint="eastAsia" w:ascii="仿宋" w:hAnsi="仿宋" w:cs="仿宋"/>
          <w:szCs w:val="24"/>
          <w:lang w:val="en-US" w:eastAsia="zh-CN"/>
        </w:rPr>
        <w:t>步骤</w:t>
      </w:r>
      <w:r>
        <w:rPr>
          <w:rFonts w:hint="eastAsia" w:ascii="仿宋" w:hAnsi="仿宋" w:eastAsia="仿宋" w:cs="仿宋"/>
          <w:szCs w:val="24"/>
          <w:lang w:val="en-US" w:eastAsia="zh-CN"/>
        </w:rPr>
        <w:t>是实现采样工作数字化管理与可追溯性的首要环节。在智能终端创建或选择</w:t>
      </w:r>
      <w:r>
        <w:rPr>
          <w:rFonts w:hint="eastAsia" w:ascii="仿宋" w:hAnsi="仿宋" w:cs="仿宋"/>
          <w:szCs w:val="24"/>
          <w:lang w:val="en-US" w:eastAsia="zh-CN"/>
        </w:rPr>
        <w:t>采样</w:t>
      </w:r>
      <w:r>
        <w:rPr>
          <w:rFonts w:hint="eastAsia" w:ascii="仿宋" w:hAnsi="仿宋" w:eastAsia="仿宋" w:cs="仿宋"/>
          <w:szCs w:val="24"/>
          <w:lang w:val="en-US" w:eastAsia="zh-CN"/>
        </w:rPr>
        <w:t>任务，可避免人为操作失误。录入点位信息（如站厅A区、3号站台中部），是后续数据与空间位置绑定的基础，是智能采样优于传统纸质记录的关键。</w:t>
      </w:r>
    </w:p>
    <w:p w14:paraId="621065EC">
      <w:pPr>
        <w:adjustRightInd w:val="0"/>
        <w:snapToGrid w:val="0"/>
        <w:spacing w:line="240" w:lineRule="auto"/>
        <w:ind w:firstLine="480" w:firstLineChars="200"/>
        <w:rPr>
          <w:rFonts w:hint="default" w:ascii="仿宋" w:hAnsi="仿宋" w:eastAsia="仿宋" w:cs="仿宋"/>
          <w:szCs w:val="24"/>
          <w:lang w:val="en-US" w:eastAsia="zh-CN"/>
        </w:rPr>
      </w:pPr>
      <w:r>
        <w:rPr>
          <w:rFonts w:hint="eastAsia" w:ascii="仿宋" w:hAnsi="仿宋" w:cs="仿宋"/>
          <w:szCs w:val="24"/>
          <w:lang w:val="en-US" w:eastAsia="zh-CN"/>
        </w:rPr>
        <w:t>“</w:t>
      </w:r>
      <w:r>
        <w:rPr>
          <w:rFonts w:hint="eastAsia" w:cs="Times New Roman"/>
          <w:szCs w:val="24"/>
          <w:lang w:val="en-US" w:eastAsia="zh-CN"/>
        </w:rPr>
        <w:t>安装指定的无菌采集介质（如滤膜、培养皿或采样瓶），确保气路密封</w:t>
      </w:r>
      <w:r>
        <w:rPr>
          <w:rFonts w:hint="eastAsia" w:ascii="仿宋" w:hAnsi="仿宋" w:cs="仿宋"/>
          <w:szCs w:val="24"/>
          <w:lang w:val="en-US" w:eastAsia="zh-CN"/>
        </w:rPr>
        <w:t>”</w:t>
      </w:r>
      <w:r>
        <w:rPr>
          <w:rFonts w:hint="eastAsia" w:cs="Times New Roman"/>
          <w:szCs w:val="24"/>
          <w:lang w:val="en-US" w:eastAsia="zh-CN"/>
        </w:rPr>
        <w:t>。此步骤是保证样本不受外源污染、采样流量准确、有效结果准确可靠的基本前提。无菌操作是微生物学检测的基本原则，气路密封是保障流量准确的必要操作环节。</w:t>
      </w:r>
    </w:p>
    <w:p w14:paraId="04CF8F02">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设置采样流量、时间等参数，启动自动采样程序。系统自动记录开始时间、初始参数。若需无人操作，可在放置采集介质后，远程进行采集控制”。此步骤中系统自动记录启动时间和初始参数，替代了传统的人工记录，消除了人为错误，增强了数据的客观性和可信度。远程控制功能是针对地铁场站特殊运营环境的灵活性保障，体现了“智能采样”定义中的自动化与物联控制特性。</w:t>
      </w:r>
    </w:p>
    <w:p w14:paraId="04EB9816">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“采样</w:t>
      </w:r>
      <w:r>
        <w:rPr>
          <w:rFonts w:hint="eastAsia"/>
        </w:rPr>
        <w:t>结束后，设备自动停止并记录数据。小心取下</w:t>
      </w:r>
      <w:r>
        <w:rPr>
          <w:rFonts w:hint="eastAsia"/>
          <w:lang w:val="en-US" w:eastAsia="zh-CN"/>
        </w:rPr>
        <w:t>采集介质</w:t>
      </w:r>
      <w:r>
        <w:rPr>
          <w:rFonts w:hint="eastAsia"/>
        </w:rPr>
        <w:t>，</w:t>
      </w:r>
      <w:r>
        <w:rPr>
          <w:rFonts w:hint="eastAsia"/>
          <w:lang w:val="en-US" w:eastAsia="zh-CN"/>
        </w:rPr>
        <w:t>做好</w:t>
      </w:r>
      <w:r>
        <w:rPr>
          <w:rFonts w:hint="eastAsia"/>
        </w:rPr>
        <w:t>唯一标识</w:t>
      </w:r>
      <w:r>
        <w:rPr>
          <w:rFonts w:hint="eastAsia" w:cs="Times New Roman"/>
          <w:szCs w:val="24"/>
          <w:lang w:val="en-US" w:eastAsia="zh-CN"/>
        </w:rPr>
        <w:t>”</w:t>
      </w:r>
      <w:r>
        <w:rPr>
          <w:rFonts w:hint="eastAsia"/>
        </w:rPr>
        <w:t>。</w:t>
      </w:r>
      <w:r>
        <w:rPr>
          <w:rFonts w:hint="eastAsia"/>
          <w:lang w:val="en-US" w:eastAsia="zh-CN"/>
        </w:rPr>
        <w:t>该步骤要求是为</w:t>
      </w:r>
      <w:r>
        <w:rPr>
          <w:rFonts w:hint="eastAsia"/>
        </w:rPr>
        <w:t>防止在转移过程中造成</w:t>
      </w:r>
      <w:r>
        <w:rPr>
          <w:rFonts w:hint="eastAsia"/>
          <w:lang w:val="en-US" w:eastAsia="zh-CN"/>
        </w:rPr>
        <w:t>采集</w:t>
      </w:r>
      <w:r>
        <w:rPr>
          <w:rFonts w:hint="eastAsia"/>
        </w:rPr>
        <w:t>介质污染或样本损失</w:t>
      </w:r>
      <w:r>
        <w:rPr>
          <w:rFonts w:hint="eastAsia"/>
          <w:lang w:eastAsia="zh-CN"/>
        </w:rPr>
        <w:t>，</w:t>
      </w:r>
      <w:r>
        <w:rPr>
          <w:rFonts w:hint="eastAsia"/>
        </w:rPr>
        <w:t>保证样本</w:t>
      </w:r>
      <w:r>
        <w:rPr>
          <w:rFonts w:hint="eastAsia"/>
          <w:lang w:val="en-US" w:eastAsia="zh-CN"/>
        </w:rPr>
        <w:t>的</w:t>
      </w:r>
      <w:r>
        <w:rPr>
          <w:rFonts w:hint="eastAsia"/>
        </w:rPr>
        <w:t>完整性。“做好唯一标识”是</w:t>
      </w:r>
      <w:r>
        <w:rPr>
          <w:rFonts w:hint="eastAsia"/>
          <w:lang w:val="en-US" w:eastAsia="zh-CN"/>
        </w:rPr>
        <w:t>为了保证</w:t>
      </w:r>
      <w:r>
        <w:rPr>
          <w:rFonts w:hint="eastAsia"/>
        </w:rPr>
        <w:t>样本</w:t>
      </w:r>
      <w:r>
        <w:rPr>
          <w:rFonts w:hint="eastAsia"/>
          <w:lang w:val="en-US" w:eastAsia="zh-CN"/>
        </w:rPr>
        <w:t>的</w:t>
      </w:r>
      <w:r>
        <w:rPr>
          <w:rFonts w:hint="eastAsia"/>
        </w:rPr>
        <w:t>可追溯性，确保检测数据与</w:t>
      </w:r>
      <w:r>
        <w:rPr>
          <w:rFonts w:hint="eastAsia"/>
          <w:lang w:val="en-US" w:eastAsia="zh-CN"/>
        </w:rPr>
        <w:t>样品相匹配</w:t>
      </w:r>
      <w:r>
        <w:rPr>
          <w:rFonts w:hint="eastAsia"/>
        </w:rPr>
        <w:t>。</w:t>
      </w:r>
    </w:p>
    <w:p w14:paraId="76D7F074">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使用消毒湿巾或75%酒精棉片对设备接触表面进行擦拭消毒”。此步骤是防止交叉污染的流程操作。采样器在可能存在病原体的空气中工作，其外表面可能吸附或沾染颗粒物。消毒是为了保护后续操作人员和维护人员，并防止在一次采样中携带的污染物被携带至下一个采样点，导致样本间的交叉污染。采用“75%酒精棉片”是因其对多数细菌、病毒（包括包膜病毒）具有快速有效的灭活能力，且易于挥发、无残留，适合现场快速消毒。</w:t>
      </w:r>
    </w:p>
    <w:p w14:paraId="53A5BC83">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（4）现场质量控制样品</w:t>
      </w:r>
    </w:p>
    <w:p w14:paraId="1589343C">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每批次采样应至少设置1个现场空白样本（携带未开封采集介质至现场并随行）和1个运输空白样本，用于过程污染控制。</w:t>
      </w:r>
    </w:p>
    <w:p w14:paraId="115FE009">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编制依据：</w:t>
      </w:r>
    </w:p>
    <w:p w14:paraId="76B2A17E">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设置</w:t>
      </w:r>
      <w:r>
        <w:rPr>
          <w:rFonts w:hint="eastAsia" w:cs="Times New Roman"/>
          <w:szCs w:val="24"/>
          <w:lang w:val="en-US" w:eastAsia="zh-CN"/>
        </w:rPr>
        <w:t>“</w:t>
      </w:r>
      <w:r>
        <w:rPr>
          <w:rFonts w:hint="default" w:cs="Times New Roman"/>
          <w:szCs w:val="24"/>
          <w:lang w:val="en-US" w:eastAsia="zh-CN"/>
        </w:rPr>
        <w:t>现场空白</w:t>
      </w:r>
      <w:r>
        <w:rPr>
          <w:rFonts w:hint="eastAsia" w:cs="Times New Roman"/>
          <w:szCs w:val="24"/>
          <w:lang w:val="en-US" w:eastAsia="zh-CN"/>
        </w:rPr>
        <w:t>”</w:t>
      </w:r>
      <w:r>
        <w:rPr>
          <w:rFonts w:hint="default" w:cs="Times New Roman"/>
          <w:szCs w:val="24"/>
          <w:lang w:val="en-US" w:eastAsia="zh-CN"/>
        </w:rPr>
        <w:t>和</w:t>
      </w:r>
      <w:r>
        <w:rPr>
          <w:rFonts w:hint="eastAsia" w:cs="Times New Roman"/>
          <w:szCs w:val="24"/>
          <w:lang w:val="en-US" w:eastAsia="zh-CN"/>
        </w:rPr>
        <w:t>“</w:t>
      </w:r>
      <w:r>
        <w:rPr>
          <w:rFonts w:hint="default" w:cs="Times New Roman"/>
          <w:szCs w:val="24"/>
          <w:lang w:val="en-US" w:eastAsia="zh-CN"/>
        </w:rPr>
        <w:t>运输空白</w:t>
      </w:r>
      <w:r>
        <w:rPr>
          <w:rFonts w:hint="eastAsia" w:cs="Times New Roman"/>
          <w:szCs w:val="24"/>
          <w:lang w:val="en-US" w:eastAsia="zh-CN"/>
        </w:rPr>
        <w:t>”</w:t>
      </w:r>
      <w:r>
        <w:rPr>
          <w:rFonts w:hint="default" w:cs="Times New Roman"/>
          <w:szCs w:val="24"/>
          <w:lang w:val="en-US" w:eastAsia="zh-CN"/>
        </w:rPr>
        <w:t>是环境微生物监测质量控制体系的核心要求，用于鉴别采样、运输过程中引入的污染，确保样品结果的可靠性。此做法广泛遵循于GB/T 18204.3等标准的相关</w:t>
      </w:r>
      <w:r>
        <w:rPr>
          <w:rFonts w:hint="eastAsia" w:cs="Times New Roman"/>
          <w:szCs w:val="24"/>
          <w:lang w:val="en-US" w:eastAsia="zh-CN"/>
        </w:rPr>
        <w:t>要求</w:t>
      </w:r>
      <w:r>
        <w:rPr>
          <w:rFonts w:hint="default" w:cs="Times New Roman"/>
          <w:szCs w:val="24"/>
          <w:lang w:val="en-US" w:eastAsia="zh-CN"/>
        </w:rPr>
        <w:t>。</w:t>
      </w:r>
    </w:p>
    <w:p w14:paraId="0C430021">
      <w:pPr>
        <w:pStyle w:val="4"/>
        <w:bidi w:val="0"/>
        <w:rPr>
          <w:rFonts w:hint="eastAsia"/>
          <w:lang w:val="en-US" w:eastAsia="zh-CN"/>
        </w:rPr>
      </w:pPr>
      <w:bookmarkStart w:id="129" w:name="_Toc13457"/>
      <w:r>
        <w:rPr>
          <w:rFonts w:hint="eastAsia"/>
          <w:lang w:val="en-US" w:eastAsia="zh-CN"/>
        </w:rPr>
        <w:t>8.样品运输与保存</w:t>
      </w:r>
      <w:bookmarkEnd w:id="129"/>
    </w:p>
    <w:p w14:paraId="007710CD">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采样后，应立即将采集介质（如滤膜、培养皿或采样瓶）置于4℃~8℃的环境内，并在4h内送达实验室进行培养或检测。若需延时检测，滤膜等样本应在-70℃或以下温度保存，避免反复冻融。非培养样本也应尽快处理。</w:t>
      </w:r>
    </w:p>
    <w:p w14:paraId="295C54B3">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编制依据：</w:t>
      </w:r>
    </w:p>
    <w:p w14:paraId="383F16F1">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4℃冷藏，4h内送达</w:t>
      </w:r>
      <w:r>
        <w:rPr>
          <w:rFonts w:hint="eastAsia" w:cs="Times New Roman"/>
          <w:szCs w:val="24"/>
          <w:lang w:val="en-US" w:eastAsia="zh-CN"/>
        </w:rPr>
        <w:t>的</w:t>
      </w:r>
      <w:r>
        <w:rPr>
          <w:rFonts w:hint="default" w:cs="Times New Roman"/>
          <w:szCs w:val="24"/>
          <w:lang w:val="en-US" w:eastAsia="zh-CN"/>
        </w:rPr>
        <w:t>要求基于微生物学样本保存的通用准则。大多数细菌和病毒在4℃条件下可显著减缓代谢和降解速度，4小时的时限是为了最大限度保持病原体的活性（用于培养）或核酸完整性（用于分子检测）。</w:t>
      </w:r>
    </w:p>
    <w:p w14:paraId="005E3EDD">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-70℃或以下长期保存</w:t>
      </w:r>
      <w:r>
        <w:rPr>
          <w:rFonts w:hint="eastAsia" w:cs="Times New Roman"/>
          <w:szCs w:val="24"/>
          <w:lang w:val="en-US" w:eastAsia="zh-CN"/>
        </w:rPr>
        <w:t>的要求</w:t>
      </w:r>
      <w:r>
        <w:rPr>
          <w:rFonts w:hint="default" w:cs="Times New Roman"/>
          <w:szCs w:val="24"/>
          <w:lang w:val="en-US" w:eastAsia="zh-CN"/>
        </w:rPr>
        <w:t>适用于需要长期保存或后续进行分子生物学分析的样本。超低温冷冻可基本抑制所有酶活性和化学降解，是保存病毒核酸等生物大分子的标准条件。强调</w:t>
      </w:r>
      <w:r>
        <w:rPr>
          <w:rFonts w:hint="eastAsia" w:cs="Times New Roman"/>
          <w:szCs w:val="24"/>
          <w:lang w:val="en-US" w:eastAsia="zh-CN"/>
        </w:rPr>
        <w:t>“</w:t>
      </w:r>
      <w:r>
        <w:rPr>
          <w:rFonts w:hint="default" w:cs="Times New Roman"/>
          <w:szCs w:val="24"/>
          <w:lang w:val="en-US" w:eastAsia="zh-CN"/>
        </w:rPr>
        <w:t>避免反复冻融</w:t>
      </w:r>
      <w:r>
        <w:rPr>
          <w:rFonts w:hint="eastAsia" w:cs="Times New Roman"/>
          <w:szCs w:val="24"/>
          <w:lang w:val="en-US" w:eastAsia="zh-CN"/>
        </w:rPr>
        <w:t>”</w:t>
      </w:r>
      <w:r>
        <w:rPr>
          <w:rFonts w:hint="default" w:cs="Times New Roman"/>
          <w:szCs w:val="24"/>
          <w:lang w:val="en-US" w:eastAsia="zh-CN"/>
        </w:rPr>
        <w:t>是因为冻融循环会严重破坏细胞结构和核酸链，影响检测结果。</w:t>
      </w:r>
    </w:p>
    <w:p w14:paraId="1DA607FB">
      <w:pPr>
        <w:pStyle w:val="4"/>
        <w:bidi w:val="0"/>
        <w:rPr>
          <w:rFonts w:hint="default"/>
          <w:lang w:val="en-US" w:eastAsia="zh-CN"/>
        </w:rPr>
      </w:pPr>
      <w:bookmarkStart w:id="130" w:name="_Toc27712"/>
      <w:r>
        <w:rPr>
          <w:rFonts w:hint="eastAsia"/>
          <w:lang w:val="en-US" w:eastAsia="zh-CN"/>
        </w:rPr>
        <w:t>9.</w:t>
      </w:r>
      <w:r>
        <w:rPr>
          <w:rFonts w:hint="default"/>
          <w:lang w:val="en-US" w:eastAsia="zh-CN"/>
        </w:rPr>
        <w:t>质量控制</w:t>
      </w:r>
      <w:bookmarkEnd w:id="130"/>
    </w:p>
    <w:p w14:paraId="67B4C164">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（1）</w:t>
      </w:r>
      <w:r>
        <w:rPr>
          <w:rFonts w:hint="default" w:cs="Times New Roman"/>
          <w:szCs w:val="24"/>
          <w:lang w:val="en-US" w:eastAsia="zh-CN"/>
        </w:rPr>
        <w:t>仪器校准与适应性维护</w:t>
      </w:r>
    </w:p>
    <w:p w14:paraId="34E36EED">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依据JJF 1826定期对采样器的采样流量计进行校准。在地铁高粉尘、高湿度的复杂环境中，建议缩短流量校准周期至6个月。对</w:t>
      </w:r>
      <w:r>
        <w:rPr>
          <w:rFonts w:hint="eastAsia"/>
          <w:lang w:val="en-US" w:eastAsia="zh-CN"/>
        </w:rPr>
        <w:t>温度、相对湿度、</w:t>
      </w:r>
      <w:r>
        <w:rPr>
          <w:rFonts w:hint="default" w:cs="Times New Roman"/>
          <w:szCs w:val="24"/>
          <w:lang w:val="en-US" w:eastAsia="zh-CN"/>
        </w:rPr>
        <w:t>颗粒物、VOCs等传感器，需按更频繁的周期进行零点与量程检查，确保其在特殊环境下的数据可靠性。</w:t>
      </w:r>
    </w:p>
    <w:p w14:paraId="7724B3D9">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编制依据：</w:t>
      </w:r>
    </w:p>
    <w:p w14:paraId="717FFEA3">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参照JJF 1826对采样器进行流量校准，该标准要求采样器的复校时间间隔建议为1年。但地铁环境具有高粉尘、高湿度、振动频繁等特点，可能加速采样器流量传感器和关键部件的性能漂移，本文件将常规的12个月周期缩短至6个月，是基于风险预防原则，确保数据在恶劣工况下的长期可靠性。</w:t>
      </w:r>
    </w:p>
    <w:p w14:paraId="28A796FF">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（2）采样过程质量控制</w:t>
      </w:r>
    </w:p>
    <w:p w14:paraId="5F346105">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采样时，必须记录并确认采样点所属区域的通风系统（特别是集中空调通风系统）的运行状态（启/停、新风比例）。若涉及通风系统送风口的采样，其方法应符合GB/T 18204.5的相关要求。采样流量核查同9.1。</w:t>
      </w:r>
    </w:p>
    <w:p w14:paraId="37D6FA99">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编制依据：</w:t>
      </w:r>
    </w:p>
    <w:p w14:paraId="409A9E49">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通风是影响室内空气污染物浓度和分布的决定性因素之一。</w:t>
      </w:r>
      <w:r>
        <w:rPr>
          <w:rFonts w:hint="eastAsia" w:cs="Times New Roman"/>
          <w:szCs w:val="24"/>
          <w:lang w:val="en-US" w:eastAsia="zh-CN"/>
        </w:rPr>
        <w:t>本文件要求</w:t>
      </w:r>
      <w:r>
        <w:rPr>
          <w:rFonts w:hint="default" w:cs="Times New Roman"/>
          <w:szCs w:val="24"/>
          <w:lang w:val="en-US" w:eastAsia="zh-CN"/>
        </w:rPr>
        <w:t>记录通风系统运行状态（启</w:t>
      </w:r>
      <w:r>
        <w:rPr>
          <w:rFonts w:hint="eastAsia" w:cs="Times New Roman"/>
          <w:szCs w:val="24"/>
          <w:lang w:val="en-US" w:eastAsia="zh-CN"/>
        </w:rPr>
        <w:t>/</w:t>
      </w:r>
      <w:r>
        <w:rPr>
          <w:rFonts w:hint="default" w:cs="Times New Roman"/>
          <w:szCs w:val="24"/>
          <w:lang w:val="en-US" w:eastAsia="zh-CN"/>
        </w:rPr>
        <w:t>停、新风比例），是进行数据解读和模型分析的关键协变量。此要求强化了GB/T 18204.5中关于通风系统监测需记录运行参数</w:t>
      </w:r>
      <w:r>
        <w:rPr>
          <w:rFonts w:hint="eastAsia" w:cs="Times New Roman"/>
          <w:szCs w:val="24"/>
          <w:lang w:val="en-US" w:eastAsia="zh-CN"/>
        </w:rPr>
        <w:t>的要求</w:t>
      </w:r>
      <w:r>
        <w:rPr>
          <w:rFonts w:hint="default" w:cs="Times New Roman"/>
          <w:szCs w:val="24"/>
          <w:lang w:val="en-US" w:eastAsia="zh-CN"/>
        </w:rPr>
        <w:t>。</w:t>
      </w:r>
    </w:p>
    <w:p w14:paraId="21C229AE">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（3）环境代表性控制</w:t>
      </w:r>
    </w:p>
    <w:p w14:paraId="49E26BAD">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采样应覆盖典型运营时段（如早高峰、晚高峰、平峰期），以评估不同客流强度下的环境暴露风险。报告应明确标注采样所属的运营时段。</w:t>
      </w:r>
    </w:p>
    <w:p w14:paraId="52740C25">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编制依据：</w:t>
      </w:r>
    </w:p>
    <w:p w14:paraId="08B89AB7">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地铁客流存在明显的潮汐性（早、晚高峰，平峰期）。仅在单一时段采样无法代表全天的暴露风险。此要求是获得具有时间代表性数据的必要措施</w:t>
      </w:r>
      <w:r>
        <w:rPr>
          <w:rFonts w:hint="eastAsia" w:cs="Times New Roman"/>
          <w:szCs w:val="24"/>
          <w:lang w:val="en-US" w:eastAsia="zh-CN"/>
        </w:rPr>
        <w:t>，以保证环境数据的代表性，且尽量覆盖典型运营时段</w:t>
      </w:r>
      <w:r>
        <w:rPr>
          <w:rFonts w:hint="default" w:cs="Times New Roman"/>
          <w:szCs w:val="24"/>
          <w:lang w:val="en-US" w:eastAsia="zh-CN"/>
        </w:rPr>
        <w:t>。</w:t>
      </w:r>
    </w:p>
    <w:p w14:paraId="40F8F202">
      <w:pPr>
        <w:pStyle w:val="4"/>
        <w:bidi w:val="0"/>
        <w:rPr>
          <w:rFonts w:hint="default"/>
          <w:lang w:val="en-US" w:eastAsia="zh-CN"/>
        </w:rPr>
      </w:pPr>
      <w:bookmarkStart w:id="131" w:name="_Toc9731"/>
      <w:r>
        <w:rPr>
          <w:rFonts w:hint="eastAsia"/>
          <w:lang w:val="en-US" w:eastAsia="zh-CN"/>
        </w:rPr>
        <w:t>10.</w:t>
      </w:r>
      <w:r>
        <w:rPr>
          <w:rFonts w:hint="default"/>
          <w:lang w:val="en-US" w:eastAsia="zh-CN"/>
        </w:rPr>
        <w:t>采样记录与报告</w:t>
      </w:r>
      <w:bookmarkEnd w:id="131"/>
    </w:p>
    <w:p w14:paraId="4788BBB5">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（1）</w:t>
      </w:r>
      <w:r>
        <w:rPr>
          <w:rFonts w:hint="default" w:cs="Times New Roman"/>
          <w:szCs w:val="24"/>
          <w:lang w:val="en-US" w:eastAsia="zh-CN"/>
        </w:rPr>
        <w:t>采样记录内容</w:t>
      </w:r>
    </w:p>
    <w:p w14:paraId="23FD245A">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除记录采样日期与时间、采样地点、样本编号、采样器编号、采样流量、采样体积等基本信息，还宜包括具体功能分区、采样时的实时客流密度等级（如拥挤、适中、稀疏）、采样期间活动干扰情况、列车到发频率、采样点邻近通风口运行状态等。环境参数可包含温度、相对湿度、风速、气压等。记录表格可参考GB/T 38517 资料性附录B。</w:t>
      </w:r>
    </w:p>
    <w:p w14:paraId="29D627C5">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编制依据：</w:t>
      </w:r>
    </w:p>
    <w:p w14:paraId="359C164B">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本文件</w:t>
      </w:r>
      <w:r>
        <w:rPr>
          <w:rFonts w:hint="default" w:cs="Times New Roman"/>
          <w:szCs w:val="24"/>
          <w:lang w:val="en-US" w:eastAsia="zh-CN"/>
        </w:rPr>
        <w:t>要求记录</w:t>
      </w:r>
      <w:r>
        <w:rPr>
          <w:rFonts w:hint="eastAsia" w:cs="Times New Roman"/>
          <w:szCs w:val="24"/>
          <w:lang w:val="en-US" w:eastAsia="zh-CN"/>
        </w:rPr>
        <w:t>：“</w:t>
      </w:r>
      <w:r>
        <w:rPr>
          <w:rFonts w:hint="default" w:cs="Times New Roman"/>
          <w:szCs w:val="24"/>
          <w:lang w:val="en-US" w:eastAsia="zh-CN"/>
        </w:rPr>
        <w:t>实时客流密度等级</w:t>
      </w:r>
      <w:r>
        <w:rPr>
          <w:rFonts w:hint="eastAsia" w:cs="Times New Roman"/>
          <w:szCs w:val="24"/>
          <w:lang w:val="en-US" w:eastAsia="zh-CN"/>
        </w:rPr>
        <w:t>”“</w:t>
      </w:r>
      <w:r>
        <w:rPr>
          <w:rFonts w:hint="default" w:cs="Times New Roman"/>
          <w:szCs w:val="24"/>
          <w:lang w:val="en-US" w:eastAsia="zh-CN"/>
        </w:rPr>
        <w:t>列车到发频率</w:t>
      </w:r>
      <w:r>
        <w:rPr>
          <w:rFonts w:hint="eastAsia" w:cs="Times New Roman"/>
          <w:szCs w:val="24"/>
          <w:lang w:val="en-US" w:eastAsia="zh-CN"/>
        </w:rPr>
        <w:t>”“</w:t>
      </w:r>
      <w:r>
        <w:rPr>
          <w:rFonts w:hint="default" w:cs="Times New Roman"/>
          <w:szCs w:val="24"/>
          <w:lang w:val="en-US" w:eastAsia="zh-CN"/>
        </w:rPr>
        <w:t>邻近通风口运行状态</w:t>
      </w:r>
      <w:r>
        <w:rPr>
          <w:rFonts w:hint="eastAsia" w:cs="Times New Roman"/>
          <w:szCs w:val="24"/>
          <w:lang w:val="en-US" w:eastAsia="zh-CN"/>
        </w:rPr>
        <w:t>”</w:t>
      </w:r>
      <w:r>
        <w:rPr>
          <w:rFonts w:hint="default" w:cs="Times New Roman"/>
          <w:szCs w:val="24"/>
          <w:lang w:val="en-US" w:eastAsia="zh-CN"/>
        </w:rPr>
        <w:t>，是基于流行病学暴露评估的</w:t>
      </w:r>
      <w:r>
        <w:rPr>
          <w:rFonts w:hint="eastAsia" w:cs="Times New Roman"/>
          <w:szCs w:val="24"/>
          <w:lang w:val="en-US" w:eastAsia="zh-CN"/>
        </w:rPr>
        <w:t>“</w:t>
      </w:r>
      <w:r>
        <w:rPr>
          <w:rFonts w:hint="default" w:cs="Times New Roman"/>
          <w:szCs w:val="24"/>
          <w:lang w:val="en-US" w:eastAsia="zh-CN"/>
        </w:rPr>
        <w:t>时间-活动模式</w:t>
      </w:r>
      <w:r>
        <w:rPr>
          <w:rFonts w:hint="eastAsia" w:cs="Times New Roman"/>
          <w:szCs w:val="24"/>
          <w:lang w:val="en-US" w:eastAsia="zh-CN"/>
        </w:rPr>
        <w:t>”</w:t>
      </w:r>
      <w:r>
        <w:rPr>
          <w:rFonts w:hint="default" w:cs="Times New Roman"/>
          <w:szCs w:val="24"/>
          <w:lang w:val="en-US" w:eastAsia="zh-CN"/>
        </w:rPr>
        <w:t>理论。这些动态参数是解释病原体浓度时空变异性的关键，使监测数据从单纯的浓度值转化为可进行风险溯源和预测的信息。记录表格参考GB/T 38517-2020附录B的框架进行了场景化扩充。</w:t>
      </w:r>
    </w:p>
    <w:p w14:paraId="15F3BA4B">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（2）采样</w:t>
      </w:r>
      <w:r>
        <w:rPr>
          <w:rFonts w:hint="default" w:cs="Times New Roman"/>
          <w:szCs w:val="24"/>
          <w:lang w:val="en-US" w:eastAsia="zh-CN"/>
        </w:rPr>
        <w:t>报告</w:t>
      </w:r>
      <w:r>
        <w:rPr>
          <w:rFonts w:hint="eastAsia" w:cs="Times New Roman"/>
          <w:szCs w:val="24"/>
          <w:lang w:val="en-US" w:eastAsia="zh-CN"/>
        </w:rPr>
        <w:t>的自动</w:t>
      </w:r>
      <w:r>
        <w:rPr>
          <w:rFonts w:hint="default" w:cs="Times New Roman"/>
          <w:szCs w:val="24"/>
          <w:lang w:val="en-US" w:eastAsia="zh-CN"/>
        </w:rPr>
        <w:t>生成</w:t>
      </w:r>
    </w:p>
    <w:p w14:paraId="1B8DCF2C">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基于地理信息系统或地铁场站平面图标注采样点位，由智能采样数据管理平台整合采样记录数据，自动生成包含采样点位信息、编号信息、客流密度等级、实时环境感知数据、采样数据列表等</w:t>
      </w:r>
      <w:r>
        <w:rPr>
          <w:rFonts w:hint="eastAsia"/>
          <w:lang w:val="en-US" w:eastAsia="zh-CN"/>
        </w:rPr>
        <w:t>采样记录</w:t>
      </w:r>
      <w:r>
        <w:rPr>
          <w:rFonts w:hint="default" w:cs="Times New Roman"/>
          <w:szCs w:val="24"/>
          <w:lang w:val="en-US" w:eastAsia="zh-CN"/>
        </w:rPr>
        <w:t>内容的标准化报告。</w:t>
      </w:r>
    </w:p>
    <w:p w14:paraId="6FB9C6F6">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编制依据：</w:t>
      </w:r>
    </w:p>
    <w:p w14:paraId="58E64E73">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本条文</w:t>
      </w:r>
      <w:r>
        <w:rPr>
          <w:rFonts w:hint="default" w:cs="Times New Roman"/>
          <w:szCs w:val="24"/>
          <w:lang w:val="en-US" w:eastAsia="zh-CN"/>
        </w:rPr>
        <w:t>要求利用地理信息系统或平面图进行点位可视化，</w:t>
      </w:r>
      <w:r>
        <w:rPr>
          <w:rFonts w:hint="eastAsia" w:cs="Times New Roman"/>
          <w:szCs w:val="24"/>
          <w:lang w:val="en-US" w:eastAsia="zh-CN"/>
        </w:rPr>
        <w:t>是对“4.3数据管理与传输单元”中“</w:t>
      </w:r>
      <w:r>
        <w:rPr>
          <w:rFonts w:hint="default" w:cs="Times New Roman"/>
          <w:szCs w:val="24"/>
          <w:lang w:val="en-US" w:eastAsia="zh-CN"/>
        </w:rPr>
        <w:t>将采样数据、环境参数及地理位置信息实时上传至指定监测平台</w:t>
      </w:r>
      <w:r>
        <w:rPr>
          <w:rFonts w:hint="eastAsia" w:cs="Times New Roman"/>
          <w:szCs w:val="24"/>
          <w:lang w:val="en-US" w:eastAsia="zh-CN"/>
        </w:rPr>
        <w:t>”</w:t>
      </w:r>
      <w:r>
        <w:rPr>
          <w:rFonts w:hint="default" w:cs="Times New Roman"/>
          <w:szCs w:val="24"/>
          <w:lang w:val="en-US" w:eastAsia="zh-CN"/>
        </w:rPr>
        <w:t>等智能化功能</w:t>
      </w:r>
      <w:r>
        <w:rPr>
          <w:rFonts w:hint="eastAsia" w:cs="Times New Roman"/>
          <w:szCs w:val="24"/>
          <w:lang w:val="en-US" w:eastAsia="zh-CN"/>
        </w:rPr>
        <w:t>的体现</w:t>
      </w:r>
      <w:r>
        <w:rPr>
          <w:rFonts w:hint="default" w:cs="Times New Roman"/>
          <w:szCs w:val="24"/>
          <w:lang w:val="en-US" w:eastAsia="zh-CN"/>
        </w:rPr>
        <w:t>。由智能采样数据管理平台整合采样记录数据，</w:t>
      </w:r>
      <w:r>
        <w:rPr>
          <w:rFonts w:hint="eastAsia" w:cs="Times New Roman"/>
          <w:szCs w:val="24"/>
          <w:lang w:val="en-US" w:eastAsia="zh-CN"/>
        </w:rPr>
        <w:t>自动生成包含主要采样信息的标准化报告，</w:t>
      </w:r>
      <w:r>
        <w:rPr>
          <w:rFonts w:hint="default" w:cs="Times New Roman"/>
          <w:szCs w:val="24"/>
          <w:lang w:val="en-US" w:eastAsia="zh-CN"/>
        </w:rPr>
        <w:t>为</w:t>
      </w:r>
      <w:r>
        <w:rPr>
          <w:rFonts w:hint="eastAsia" w:cs="Times New Roman"/>
          <w:szCs w:val="24"/>
          <w:lang w:val="en-US" w:eastAsia="zh-CN"/>
        </w:rPr>
        <w:t>监测结果分析提供标准化</w:t>
      </w:r>
      <w:r>
        <w:rPr>
          <w:rFonts w:hint="default" w:cs="Times New Roman"/>
          <w:szCs w:val="24"/>
          <w:lang w:val="en-US" w:eastAsia="zh-CN"/>
        </w:rPr>
        <w:t>支持信息。</w:t>
      </w:r>
      <w:r>
        <w:rPr>
          <w:rFonts w:hint="eastAsia" w:cs="Times New Roman"/>
          <w:szCs w:val="24"/>
          <w:lang w:val="en-US" w:eastAsia="zh-CN"/>
        </w:rPr>
        <w:t>采样报告的自动生成，</w:t>
      </w:r>
      <w:r>
        <w:rPr>
          <w:rFonts w:hint="default" w:cs="Times New Roman"/>
          <w:szCs w:val="24"/>
          <w:lang w:val="en-US" w:eastAsia="zh-CN"/>
        </w:rPr>
        <w:t>是避免人工误差、提升原始采样记录效率的重要功能。</w:t>
      </w:r>
    </w:p>
    <w:bookmarkEnd w:id="106"/>
    <w:bookmarkEnd w:id="107"/>
    <w:bookmarkEnd w:id="108"/>
    <w:bookmarkEnd w:id="122"/>
    <w:p w14:paraId="428E6407">
      <w:pPr>
        <w:pStyle w:val="3"/>
        <w:spacing w:before="156" w:after="156" w:line="240" w:lineRule="auto"/>
        <w:ind w:firstLine="482"/>
        <w:rPr>
          <w:rFonts w:hint="eastAsia"/>
        </w:rPr>
      </w:pPr>
      <w:bookmarkStart w:id="132" w:name="_Toc24427"/>
      <w:bookmarkStart w:id="133" w:name="_Toc12008"/>
      <w:bookmarkStart w:id="134" w:name="_Toc16465"/>
      <w:bookmarkStart w:id="135" w:name="_Toc4034"/>
      <w:bookmarkStart w:id="136" w:name="_Toc30137"/>
      <w:bookmarkStart w:id="137" w:name="_Toc93656997"/>
      <w:bookmarkStart w:id="138" w:name="_Toc23058"/>
      <w:bookmarkStart w:id="139" w:name="_Toc23097"/>
      <w:bookmarkStart w:id="140" w:name="_Toc67407053"/>
      <w:bookmarkStart w:id="141" w:name="_Toc9145"/>
      <w:bookmarkStart w:id="142" w:name="_Toc25667"/>
      <w:bookmarkStart w:id="143" w:name="_Toc14191"/>
      <w:bookmarkStart w:id="144" w:name="_Toc69553244"/>
      <w:bookmarkStart w:id="145" w:name="_Toc17897"/>
      <w:bookmarkStart w:id="146" w:name="_Toc7059"/>
      <w:bookmarkStart w:id="147" w:name="_Toc25511"/>
      <w:bookmarkStart w:id="148" w:name="_Toc42598938"/>
      <w:r>
        <w:rPr>
          <w:rFonts w:hint="eastAsia"/>
        </w:rPr>
        <w:t>（</w:t>
      </w:r>
      <w:r>
        <w:rPr>
          <w:rFonts w:hint="eastAsia"/>
          <w:lang w:val="en-US" w:eastAsia="zh-CN"/>
        </w:rPr>
        <w:t>二</w:t>
      </w:r>
      <w:r>
        <w:rPr>
          <w:rFonts w:hint="eastAsia"/>
        </w:rPr>
        <w:t>）主要验证报告</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F8871BE">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为验证静电吸附技术的科学性，编制组于2024年，在广州市大石地铁站开展了静电吸附技术与沉降采样技术的现场验证比对实验。</w:t>
      </w:r>
    </w:p>
    <w:p w14:paraId="4FED1118">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采用Andersen采样器作为标准参比方法，沉降法作为补充参比方法，比对静电场采样器结果。主要应用可行性、准确性和稳定性的部分指标对结果进行评价。</w:t>
      </w:r>
    </w:p>
    <w:p w14:paraId="0C870CA8">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相同时空节点的同步采样结果分析比较显示：（1）夏、冬两季，静电场采样方法的可行性较好，与参比方法检出率无差异，对高浓度样品两季超标率有差异。（2）静电场采样方法显示出一定的准确性偏差，静电场采样检测结果高于沉降法和Andersen法；夏季Andersen法高于沉降法，冬季沉降法结果高于Andersen法。（3）静电场采样法稳定性较好，夏季静电场采样方法的稳定性与Andersen采样方法基本相当，冬季静电场采样方法的稳定性稍高于Andersen采样方法。评估报告详见附件。</w:t>
      </w:r>
    </w:p>
    <w:bookmarkEnd w:id="85"/>
    <w:bookmarkEnd w:id="86"/>
    <w:bookmarkEnd w:id="87"/>
    <w:bookmarkEnd w:id="148"/>
    <w:p w14:paraId="6943BEFE">
      <w:pPr>
        <w:pStyle w:val="2"/>
        <w:spacing w:before="0" w:after="0"/>
        <w:rPr>
          <w:rFonts w:hint="eastAsia"/>
          <w:sz w:val="28"/>
        </w:rPr>
      </w:pPr>
      <w:bookmarkStart w:id="149" w:name="_Toc19783"/>
      <w:bookmarkStart w:id="150" w:name="_Toc69553264"/>
      <w:bookmarkStart w:id="151" w:name="_Toc67407060"/>
      <w:bookmarkStart w:id="152" w:name="_Toc21228"/>
      <w:bookmarkStart w:id="153" w:name="_Toc3441"/>
      <w:bookmarkStart w:id="154" w:name="_Toc23416"/>
      <w:bookmarkStart w:id="155" w:name="_Toc9485"/>
      <w:bookmarkStart w:id="156" w:name="_Toc14271"/>
      <w:bookmarkStart w:id="157" w:name="_Toc21668"/>
      <w:bookmarkStart w:id="158" w:name="_Toc1943"/>
      <w:bookmarkStart w:id="159" w:name="_Toc22156"/>
      <w:bookmarkStart w:id="160" w:name="_Toc19309"/>
      <w:bookmarkStart w:id="161" w:name="_Toc93656998"/>
      <w:bookmarkStart w:id="162" w:name="_Toc436"/>
      <w:bookmarkStart w:id="163" w:name="_Toc28341"/>
      <w:bookmarkStart w:id="164" w:name="_Toc3962"/>
      <w:r>
        <w:rPr>
          <w:rFonts w:hint="eastAsia"/>
          <w:sz w:val="28"/>
          <w:lang w:val="en-US" w:eastAsia="zh-CN"/>
        </w:rPr>
        <w:t>六</w:t>
      </w:r>
      <w:r>
        <w:rPr>
          <w:rFonts w:hint="eastAsia"/>
          <w:sz w:val="28"/>
        </w:rPr>
        <w:t>、</w:t>
      </w:r>
      <w:r>
        <w:rPr>
          <w:rFonts w:hint="eastAsia"/>
          <w:sz w:val="28"/>
          <w:lang w:val="en-US" w:eastAsia="zh-CN"/>
        </w:rPr>
        <w:t>征求意见和采纳情况、不采纳意见的理由</w:t>
      </w:r>
      <w:bookmarkEnd w:id="149"/>
    </w:p>
    <w:p w14:paraId="04F41A1B">
      <w:pPr>
        <w:adjustRightInd w:val="0"/>
        <w:snapToGrid w:val="0"/>
        <w:spacing w:line="240" w:lineRule="auto"/>
        <w:ind w:firstLine="480" w:firstLineChars="200"/>
        <w:rPr>
          <w:rFonts w:hint="eastAsia" w:cs="Times New Roman"/>
          <w:szCs w:val="24"/>
        </w:rPr>
      </w:pPr>
      <w:r>
        <w:rPr>
          <w:rFonts w:hint="eastAsia" w:cs="Times New Roman"/>
          <w:szCs w:val="24"/>
        </w:rPr>
        <w:t>202</w:t>
      </w:r>
      <w:r>
        <w:rPr>
          <w:rFonts w:hint="eastAsia" w:cs="Times New Roman"/>
          <w:szCs w:val="24"/>
          <w:lang w:val="en-US" w:eastAsia="zh-CN"/>
        </w:rPr>
        <w:t>6</w:t>
      </w:r>
      <w:r>
        <w:rPr>
          <w:rFonts w:hint="eastAsia" w:cs="Times New Roman"/>
          <w:szCs w:val="24"/>
        </w:rPr>
        <w:t>年</w:t>
      </w:r>
      <w:r>
        <w:rPr>
          <w:rFonts w:hint="eastAsia" w:cs="Times New Roman"/>
          <w:szCs w:val="24"/>
          <w:lang w:val="en-US" w:eastAsia="zh-CN"/>
        </w:rPr>
        <w:t>4</w:t>
      </w:r>
      <w:r>
        <w:rPr>
          <w:rFonts w:hint="eastAsia" w:cs="Times New Roman"/>
          <w:szCs w:val="24"/>
        </w:rPr>
        <w:t>月至</w:t>
      </w:r>
      <w:r>
        <w:rPr>
          <w:rFonts w:hint="eastAsia" w:cs="Times New Roman"/>
          <w:szCs w:val="24"/>
          <w:lang w:val="en-US" w:eastAsia="zh-CN"/>
        </w:rPr>
        <w:t>5</w:t>
      </w:r>
      <w:r>
        <w:rPr>
          <w:rFonts w:hint="eastAsia" w:cs="Times New Roman"/>
          <w:szCs w:val="24"/>
        </w:rPr>
        <w:t>月，标准编制组以公开挂网和邮件的方式广泛公开地征求了意见，共征求了</w:t>
      </w:r>
      <w:r>
        <w:rPr>
          <w:rFonts w:hint="eastAsia" w:cs="Times New Roman"/>
          <w:szCs w:val="24"/>
          <w:lang w:val="en-US" w:eastAsia="zh-CN"/>
        </w:rPr>
        <w:t xml:space="preserve"> </w:t>
      </w:r>
      <w:r>
        <w:rPr>
          <w:rFonts w:hint="eastAsia" w:cs="Times New Roman"/>
          <w:szCs w:val="24"/>
        </w:rPr>
        <w:t>家单位和</w:t>
      </w:r>
      <w:r>
        <w:rPr>
          <w:rFonts w:hint="eastAsia" w:cs="Times New Roman"/>
          <w:szCs w:val="24"/>
          <w:lang w:val="en-US" w:eastAsia="zh-CN"/>
        </w:rPr>
        <w:t xml:space="preserve"> </w:t>
      </w:r>
      <w:r>
        <w:rPr>
          <w:rFonts w:hint="eastAsia" w:cs="Times New Roman"/>
          <w:szCs w:val="24"/>
        </w:rPr>
        <w:t>位个人的意见，收到回函</w:t>
      </w:r>
      <w:r>
        <w:rPr>
          <w:rFonts w:hint="eastAsia" w:cs="Times New Roman"/>
          <w:szCs w:val="24"/>
          <w:lang w:val="en-US" w:eastAsia="zh-CN"/>
        </w:rPr>
        <w:t xml:space="preserve"> </w:t>
      </w:r>
      <w:r>
        <w:rPr>
          <w:rFonts w:hint="eastAsia" w:cs="Times New Roman"/>
          <w:szCs w:val="24"/>
        </w:rPr>
        <w:t>份，其中有意见</w:t>
      </w:r>
      <w:r>
        <w:rPr>
          <w:rFonts w:hint="eastAsia" w:cs="Times New Roman"/>
          <w:szCs w:val="24"/>
          <w:lang w:val="en-US" w:eastAsia="zh-CN"/>
        </w:rPr>
        <w:t xml:space="preserve"> </w:t>
      </w:r>
      <w:r>
        <w:rPr>
          <w:rFonts w:hint="eastAsia" w:cs="Times New Roman"/>
          <w:szCs w:val="24"/>
        </w:rPr>
        <w:t>份共</w:t>
      </w:r>
      <w:r>
        <w:rPr>
          <w:rFonts w:hint="eastAsia" w:cs="Times New Roman"/>
          <w:szCs w:val="24"/>
          <w:lang w:val="en-US" w:eastAsia="zh-CN"/>
        </w:rPr>
        <w:t xml:space="preserve"> </w:t>
      </w:r>
      <w:r>
        <w:rPr>
          <w:rFonts w:hint="eastAsia" w:cs="Times New Roman"/>
          <w:szCs w:val="24"/>
        </w:rPr>
        <w:t>条，已采纳意见</w:t>
      </w:r>
      <w:r>
        <w:rPr>
          <w:rFonts w:hint="eastAsia" w:cs="Times New Roman"/>
          <w:szCs w:val="24"/>
          <w:lang w:val="en-US" w:eastAsia="zh-CN"/>
        </w:rPr>
        <w:t xml:space="preserve"> </w:t>
      </w:r>
      <w:r>
        <w:rPr>
          <w:rFonts w:hint="eastAsia" w:cs="Times New Roman"/>
          <w:szCs w:val="24"/>
        </w:rPr>
        <w:t>条，部分采纳意见</w:t>
      </w:r>
      <w:r>
        <w:rPr>
          <w:rFonts w:hint="eastAsia" w:cs="Times New Roman"/>
          <w:szCs w:val="24"/>
          <w:lang w:val="en-US" w:eastAsia="zh-CN"/>
        </w:rPr>
        <w:t xml:space="preserve"> </w:t>
      </w:r>
      <w:r>
        <w:rPr>
          <w:rFonts w:hint="eastAsia" w:cs="Times New Roman"/>
          <w:szCs w:val="24"/>
        </w:rPr>
        <w:t>条，未采纳意见</w:t>
      </w:r>
      <w:r>
        <w:rPr>
          <w:rFonts w:hint="eastAsia" w:cs="Times New Roman"/>
          <w:szCs w:val="24"/>
          <w:lang w:val="en-US" w:eastAsia="zh-CN"/>
        </w:rPr>
        <w:t xml:space="preserve"> </w:t>
      </w:r>
      <w:r>
        <w:rPr>
          <w:rFonts w:hint="eastAsia" w:cs="Times New Roman"/>
          <w:szCs w:val="24"/>
        </w:rPr>
        <w:t>条；无意见</w:t>
      </w:r>
      <w:r>
        <w:rPr>
          <w:rFonts w:hint="eastAsia" w:cs="Times New Roman"/>
          <w:szCs w:val="24"/>
          <w:lang w:val="en-US" w:eastAsia="zh-CN"/>
        </w:rPr>
        <w:t xml:space="preserve"> </w:t>
      </w:r>
      <w:r>
        <w:rPr>
          <w:rFonts w:hint="eastAsia" w:cs="Times New Roman"/>
          <w:szCs w:val="24"/>
        </w:rPr>
        <w:t>份。</w:t>
      </w:r>
    </w:p>
    <w:p w14:paraId="5D97CB79">
      <w:pPr>
        <w:pStyle w:val="2"/>
        <w:spacing w:before="0" w:after="0"/>
        <w:rPr>
          <w:sz w:val="28"/>
        </w:rPr>
      </w:pPr>
      <w:bookmarkStart w:id="165" w:name="_Toc26743"/>
      <w:r>
        <w:rPr>
          <w:rFonts w:hint="eastAsia"/>
          <w:sz w:val="28"/>
          <w:lang w:val="en-US" w:eastAsia="zh-CN"/>
        </w:rPr>
        <w:t>七、</w:t>
      </w:r>
      <w:r>
        <w:rPr>
          <w:rFonts w:hint="eastAsia"/>
          <w:sz w:val="28"/>
        </w:rPr>
        <w:t>重大分歧意见的处理</w:t>
      </w:r>
      <w:r>
        <w:rPr>
          <w:rFonts w:hint="eastAsia"/>
          <w:sz w:val="28"/>
          <w:lang w:val="en-US" w:eastAsia="zh-CN"/>
        </w:rPr>
        <w:t>结果和</w:t>
      </w:r>
      <w:r>
        <w:rPr>
          <w:rFonts w:hint="eastAsia"/>
          <w:sz w:val="28"/>
        </w:rPr>
        <w:t>依</w:t>
      </w:r>
      <w:bookmarkEnd w:id="150"/>
      <w:bookmarkEnd w:id="151"/>
      <w:r>
        <w:rPr>
          <w:rFonts w:hint="eastAsia"/>
          <w:sz w:val="28"/>
        </w:rPr>
        <w:t>据</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A9C7589">
      <w:pPr>
        <w:adjustRightInd w:val="0"/>
        <w:snapToGrid w:val="0"/>
        <w:spacing w:line="240" w:lineRule="auto"/>
        <w:ind w:firstLine="480" w:firstLineChars="200"/>
        <w:rPr>
          <w:rFonts w:cs="Times New Roman"/>
          <w:szCs w:val="24"/>
        </w:rPr>
      </w:pPr>
      <w:r>
        <w:rPr>
          <w:rFonts w:hint="eastAsia" w:cs="Times New Roman"/>
          <w:szCs w:val="24"/>
        </w:rPr>
        <w:t>在征求意见和会审过程中，没有重大分歧。</w:t>
      </w:r>
      <w:bookmarkStart w:id="166" w:name="_Toc69553265"/>
      <w:bookmarkStart w:id="167" w:name="_Toc67407061"/>
    </w:p>
    <w:p w14:paraId="53D78776">
      <w:pPr>
        <w:adjustRightInd w:val="0"/>
        <w:snapToGrid w:val="0"/>
        <w:spacing w:line="240" w:lineRule="auto"/>
        <w:rPr>
          <w:rFonts w:cs="Times New Roman"/>
          <w:szCs w:val="24"/>
        </w:rPr>
      </w:pPr>
    </w:p>
    <w:p w14:paraId="2F95C0FE">
      <w:pPr>
        <w:pStyle w:val="2"/>
        <w:spacing w:before="0" w:after="0"/>
        <w:rPr>
          <w:rFonts w:hint="eastAsia"/>
          <w:sz w:val="28"/>
        </w:rPr>
      </w:pPr>
      <w:bookmarkStart w:id="168" w:name="_Toc24832"/>
      <w:bookmarkStart w:id="169" w:name="_Toc27805"/>
      <w:bookmarkStart w:id="170" w:name="_Toc2764"/>
      <w:bookmarkStart w:id="171" w:name="_Toc28466"/>
      <w:bookmarkStart w:id="172" w:name="_Toc3979"/>
      <w:r>
        <w:rPr>
          <w:rFonts w:hint="eastAsia"/>
          <w:sz w:val="28"/>
          <w:lang w:val="en-US" w:eastAsia="zh-CN"/>
        </w:rPr>
        <w:t>八</w:t>
      </w:r>
      <w:r>
        <w:rPr>
          <w:rFonts w:hint="eastAsia"/>
          <w:sz w:val="28"/>
        </w:rPr>
        <w:t>、</w:t>
      </w:r>
      <w:bookmarkEnd w:id="168"/>
      <w:bookmarkEnd w:id="169"/>
      <w:bookmarkEnd w:id="170"/>
      <w:bookmarkEnd w:id="171"/>
      <w:r>
        <w:rPr>
          <w:rFonts w:hint="eastAsia"/>
          <w:sz w:val="28"/>
        </w:rPr>
        <w:t>根据需要提出实施标准的建议</w:t>
      </w:r>
      <w:bookmarkEnd w:id="172"/>
    </w:p>
    <w:p w14:paraId="523CAC26">
      <w:pPr>
        <w:adjustRightInd w:val="0"/>
        <w:snapToGrid w:val="0"/>
        <w:spacing w:line="240" w:lineRule="auto"/>
        <w:ind w:firstLine="480" w:firstLineChars="200"/>
        <w:rPr>
          <w:rFonts w:cs="Times New Roman"/>
          <w:szCs w:val="24"/>
          <w:highlight w:val="none"/>
        </w:rPr>
      </w:pPr>
      <w:r>
        <w:rPr>
          <w:rFonts w:hint="eastAsia" w:cs="Times New Roman"/>
          <w:szCs w:val="24"/>
          <w:highlight w:val="none"/>
        </w:rPr>
        <w:t>实施本标准不涉及技术改造、成本投入、老旧产品等。本文件建议发布后六个月实施。本文件需要使用单位有充分的过渡期，应对相关人员进行标准解读、宣贯培训，建议发布后6个月实施。</w:t>
      </w:r>
    </w:p>
    <w:p w14:paraId="70BAE7AE">
      <w:pPr>
        <w:adjustRightInd w:val="0"/>
        <w:snapToGrid w:val="0"/>
        <w:spacing w:line="240" w:lineRule="auto"/>
        <w:ind w:firstLine="480" w:firstLineChars="200"/>
        <w:rPr>
          <w:rFonts w:cs="Times New Roman"/>
          <w:szCs w:val="24"/>
        </w:rPr>
      </w:pPr>
      <w:bookmarkStart w:id="173" w:name="_Toc14905"/>
      <w:bookmarkStart w:id="174" w:name="_Toc6785"/>
      <w:bookmarkStart w:id="175" w:name="_Toc31051"/>
      <w:bookmarkStart w:id="176" w:name="_Toc21649"/>
      <w:bookmarkStart w:id="177" w:name="_Toc11846"/>
      <w:bookmarkStart w:id="178" w:name="_Toc93657002"/>
      <w:bookmarkStart w:id="179" w:name="_Toc19881"/>
      <w:bookmarkStart w:id="180" w:name="_Toc26732"/>
      <w:bookmarkStart w:id="181" w:name="_Toc6556"/>
    </w:p>
    <w:p w14:paraId="75F7E446">
      <w:pPr>
        <w:pStyle w:val="2"/>
        <w:spacing w:before="0" w:after="0"/>
        <w:rPr>
          <w:sz w:val="28"/>
        </w:rPr>
      </w:pPr>
      <w:bookmarkStart w:id="182" w:name="_Toc28818"/>
      <w:bookmarkStart w:id="183" w:name="_Toc28963"/>
      <w:bookmarkStart w:id="184" w:name="_Toc19930"/>
      <w:bookmarkStart w:id="185" w:name="_Toc28501"/>
      <w:bookmarkStart w:id="186" w:name="_Toc31760"/>
      <w:r>
        <w:rPr>
          <w:rFonts w:hint="eastAsia"/>
          <w:sz w:val="28"/>
          <w:lang w:val="en-US" w:eastAsia="zh-CN"/>
        </w:rPr>
        <w:t>九</w:t>
      </w:r>
      <w:r>
        <w:rPr>
          <w:rFonts w:hint="eastAsia"/>
          <w:sz w:val="28"/>
        </w:rPr>
        <w:t>、其他应予说明的事项</w:t>
      </w:r>
      <w:bookmarkEnd w:id="166"/>
      <w:bookmarkEnd w:id="167"/>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E2303D2">
      <w:pPr>
        <w:adjustRightInd w:val="0"/>
        <w:snapToGrid w:val="0"/>
        <w:spacing w:line="240" w:lineRule="auto"/>
        <w:ind w:firstLine="480" w:firstLineChars="200"/>
        <w:rPr>
          <w:rFonts w:cs="Times New Roman"/>
          <w:szCs w:val="24"/>
        </w:rPr>
      </w:pPr>
      <w:r>
        <w:rPr>
          <w:rFonts w:hint="eastAsia" w:cs="Times New Roman"/>
          <w:szCs w:val="24"/>
        </w:rPr>
        <w:t>无。</w:t>
      </w:r>
      <w:bookmarkStart w:id="187" w:name="_Toc93657003"/>
    </w:p>
    <w:p w14:paraId="785C11AB">
      <w:pPr>
        <w:pStyle w:val="46"/>
        <w:spacing w:line="288" w:lineRule="auto"/>
        <w:ind w:firstLine="0" w:firstLineChars="0"/>
        <w:jc w:val="left"/>
        <w:rPr>
          <w:rFonts w:ascii="Times New Roman" w:hAnsi="Times New Roman"/>
        </w:rPr>
      </w:pPr>
    </w:p>
    <w:p w14:paraId="23255406">
      <w:pPr>
        <w:pStyle w:val="46"/>
        <w:ind w:firstLine="400"/>
        <w:jc w:val="left"/>
        <w:rPr>
          <w:rFonts w:ascii="Times New Roman" w:hAnsi="Times New Roman"/>
        </w:rPr>
        <w:sectPr>
          <w:footerReference r:id="rId8" w:type="default"/>
          <w:footnotePr>
            <w:numFmt w:val="decimal"/>
          </w:footnotePr>
          <w:type w:val="continuous"/>
          <w:pgSz w:w="11906" w:h="16838"/>
          <w:pgMar w:top="1440" w:right="1800" w:bottom="1440" w:left="1800" w:header="851" w:footer="992" w:gutter="0"/>
          <w:pgNumType w:start="1"/>
          <w:cols w:space="425" w:num="1"/>
          <w:docGrid w:type="lines" w:linePitch="312" w:charSpace="0"/>
        </w:sectPr>
      </w:pPr>
    </w:p>
    <w:bookmarkEnd w:id="187"/>
    <w:p w14:paraId="5686520A">
      <w:pPr>
        <w:tabs>
          <w:tab w:val="left" w:pos="630"/>
        </w:tabs>
        <w:snapToGrid w:val="0"/>
        <w:spacing w:line="240" w:lineRule="auto"/>
        <w:rPr>
          <w:rFonts w:hint="eastAsia" w:cs="Times New Roman"/>
          <w:sz w:val="24"/>
          <w:szCs w:val="24"/>
          <w:lang w:val="en-US" w:eastAsia="zh-CN"/>
        </w:rPr>
      </w:pPr>
      <w:r>
        <w:rPr>
          <w:rFonts w:hint="eastAsia" w:cs="Times New Roman"/>
          <w:sz w:val="24"/>
          <w:szCs w:val="24"/>
          <w:lang w:val="en-US" w:eastAsia="zh-CN"/>
        </w:rPr>
        <w:t>附件：静电场采样方法对空气微生物的采集效果评价现场研究简报</w:t>
      </w:r>
    </w:p>
    <w:p w14:paraId="0CB8CA2E">
      <w:pPr>
        <w:tabs>
          <w:tab w:val="left" w:pos="630"/>
        </w:tabs>
        <w:snapToGrid w:val="0"/>
        <w:spacing w:line="240" w:lineRule="auto"/>
        <w:rPr>
          <w:rFonts w:hint="eastAsia" w:cs="Times New Roman"/>
          <w:sz w:val="20"/>
          <w:szCs w:val="20"/>
          <w:lang w:val="en-US" w:eastAsia="zh-CN"/>
        </w:rPr>
      </w:pPr>
    </w:p>
    <w:p w14:paraId="036359FC">
      <w:pPr>
        <w:tabs>
          <w:tab w:val="left" w:pos="630"/>
        </w:tabs>
        <w:snapToGrid w:val="0"/>
        <w:spacing w:line="240" w:lineRule="auto"/>
        <w:rPr>
          <w:rFonts w:hint="eastAsia" w:cs="Times New Roman"/>
          <w:sz w:val="20"/>
          <w:szCs w:val="20"/>
          <w:lang w:val="en-US" w:eastAsia="zh-CN"/>
        </w:rPr>
      </w:pPr>
    </w:p>
    <w:p w14:paraId="3B830EF4">
      <w:pPr>
        <w:adjustRightInd w:val="0"/>
        <w:snapToGrid w:val="0"/>
        <w:spacing w:line="360" w:lineRule="auto"/>
        <w:jc w:val="left"/>
        <w:rPr>
          <w:rFonts w:hint="eastAsia" w:ascii="仿宋" w:hAnsi="仿宋"/>
          <w:szCs w:val="21"/>
          <w:lang w:val="en-US" w:eastAsia="zh-CN"/>
        </w:rPr>
        <w:sectPr>
          <w:headerReference r:id="rId11" w:type="first"/>
          <w:footerReference r:id="rId14" w:type="first"/>
          <w:headerReference r:id="rId9" w:type="default"/>
          <w:footerReference r:id="rId12" w:type="default"/>
          <w:headerReference r:id="rId10" w:type="even"/>
          <w:footerReference r:id="rId13" w:type="even"/>
          <w:type w:val="continuous"/>
          <w:pgSz w:w="11906" w:h="16838"/>
          <w:pgMar w:top="1440" w:right="1800" w:bottom="1440" w:left="1800" w:header="851" w:footer="992" w:gutter="0"/>
          <w:pgNumType w:fmt="decimal"/>
          <w:cols w:space="425" w:num="1"/>
          <w:docGrid w:type="lines" w:linePitch="312" w:charSpace="0"/>
        </w:sectPr>
      </w:pPr>
    </w:p>
    <w:p w14:paraId="5579F96F">
      <w:pPr>
        <w:pStyle w:val="2"/>
        <w:bidi w:val="0"/>
      </w:pPr>
      <w:bookmarkStart w:id="188" w:name="_Toc21524"/>
      <w:r>
        <w:rPr>
          <w:rFonts w:hint="eastAsia"/>
          <w:lang w:val="en-US" w:eastAsia="zh-CN"/>
        </w:rPr>
        <w:t>附件：</w:t>
      </w:r>
      <w:r>
        <w:rPr>
          <w:rFonts w:hint="eastAsia"/>
        </w:rPr>
        <w:t>静电场采样方法对空气微生物的采集效果评价现场研究简报</w:t>
      </w:r>
      <w:bookmarkEnd w:id="188"/>
    </w:p>
    <w:p w14:paraId="6079E2E5">
      <w:pPr>
        <w:spacing w:line="240" w:lineRule="auto"/>
        <w:jc w:val="center"/>
        <w:rPr>
          <w:rFonts w:ascii="Times New Roman" w:hAnsi="Times New Roman" w:eastAsia="仿宋" w:cs="Times New Roman"/>
          <w:sz w:val="28"/>
          <w:szCs w:val="24"/>
        </w:rPr>
      </w:pPr>
      <w:r>
        <w:rPr>
          <w:rFonts w:ascii="Times New Roman" w:hAnsi="Times New Roman" w:eastAsia="仿宋" w:cs="Times New Roman"/>
          <w:b/>
          <w:bCs/>
          <w:sz w:val="28"/>
          <w:szCs w:val="24"/>
        </w:rPr>
        <w:t>静电场</w:t>
      </w:r>
      <w:r>
        <w:rPr>
          <w:rFonts w:hint="eastAsia" w:ascii="Times New Roman" w:hAnsi="Times New Roman" w:eastAsia="仿宋" w:cs="Times New Roman"/>
          <w:b/>
          <w:bCs/>
          <w:sz w:val="28"/>
          <w:szCs w:val="24"/>
        </w:rPr>
        <w:t>采样方法对空气微生物的采集效果评价</w:t>
      </w:r>
      <w:r>
        <w:rPr>
          <w:rFonts w:ascii="Times New Roman" w:hAnsi="Times New Roman" w:eastAsia="仿宋" w:cs="Times New Roman"/>
          <w:b/>
          <w:bCs/>
          <w:sz w:val="28"/>
          <w:szCs w:val="24"/>
        </w:rPr>
        <w:t>现场</w:t>
      </w:r>
      <w:r>
        <w:rPr>
          <w:rFonts w:hint="eastAsia" w:ascii="Times New Roman" w:hAnsi="Times New Roman" w:eastAsia="仿宋" w:cs="Times New Roman"/>
          <w:b/>
          <w:bCs/>
          <w:sz w:val="28"/>
          <w:szCs w:val="24"/>
        </w:rPr>
        <w:t>研究简报</w:t>
      </w:r>
    </w:p>
    <w:p w14:paraId="3F026061">
      <w:pPr>
        <w:pStyle w:val="2"/>
        <w:spacing w:line="240" w:lineRule="auto"/>
        <w:rPr>
          <w:rFonts w:eastAsia="仿宋"/>
          <w:szCs w:val="24"/>
        </w:rPr>
      </w:pPr>
      <w:bookmarkStart w:id="189" w:name="_Toc20470"/>
      <w:bookmarkStart w:id="190" w:name="_Toc188029654"/>
      <w:bookmarkStart w:id="191" w:name="_Toc4897"/>
      <w:bookmarkStart w:id="192" w:name="_Toc172211043"/>
      <w:r>
        <w:rPr>
          <w:rFonts w:hint="eastAsia" w:eastAsia="仿宋"/>
          <w:szCs w:val="24"/>
        </w:rPr>
        <w:t>1．采样方法</w:t>
      </w:r>
      <w:bookmarkEnd w:id="189"/>
      <w:bookmarkEnd w:id="190"/>
      <w:bookmarkEnd w:id="191"/>
    </w:p>
    <w:p w14:paraId="5938465F">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静电场采集技术验证两次现场工作共开展</w:t>
      </w:r>
      <w:r>
        <w:rPr>
          <w:rFonts w:ascii="Times New Roman" w:hAnsi="Times New Roman" w:eastAsia="仿宋" w:cs="Times New Roman"/>
          <w:sz w:val="24"/>
          <w:szCs w:val="24"/>
        </w:rPr>
        <w:t>21</w:t>
      </w:r>
      <w:r>
        <w:rPr>
          <w:rFonts w:hint="eastAsia" w:ascii="Times New Roman" w:hAnsi="Times New Roman" w:eastAsia="仿宋" w:cs="Times New Roman"/>
          <w:sz w:val="24"/>
          <w:szCs w:val="24"/>
        </w:rPr>
        <w:t>天，分别于夏季持续开展1</w:t>
      </w:r>
      <w:r>
        <w:rPr>
          <w:rFonts w:ascii="Times New Roman" w:hAnsi="Times New Roman" w:eastAsia="仿宋" w:cs="Times New Roman"/>
          <w:sz w:val="24"/>
          <w:szCs w:val="24"/>
        </w:rPr>
        <w:t>1</w:t>
      </w:r>
      <w:r>
        <w:rPr>
          <w:rFonts w:hint="eastAsia" w:ascii="Times New Roman" w:hAnsi="Times New Roman" w:eastAsia="仿宋" w:cs="Times New Roman"/>
          <w:sz w:val="24"/>
          <w:szCs w:val="24"/>
        </w:rPr>
        <w:t>天（2</w:t>
      </w:r>
      <w:r>
        <w:rPr>
          <w:rFonts w:ascii="Times New Roman" w:hAnsi="Times New Roman" w:eastAsia="仿宋" w:cs="Times New Roman"/>
          <w:sz w:val="24"/>
          <w:szCs w:val="24"/>
        </w:rPr>
        <w:t>024</w:t>
      </w:r>
      <w:r>
        <w:rPr>
          <w:rFonts w:hint="eastAsia" w:ascii="Times New Roman" w:hAnsi="Times New Roman" w:eastAsia="仿宋" w:cs="Times New Roman"/>
          <w:sz w:val="24"/>
          <w:szCs w:val="24"/>
        </w:rPr>
        <w:t>年</w:t>
      </w:r>
      <w:r>
        <w:rPr>
          <w:rFonts w:ascii="Times New Roman" w:hAnsi="Times New Roman" w:eastAsia="仿宋" w:cs="Times New Roman"/>
          <w:sz w:val="24"/>
          <w:szCs w:val="24"/>
        </w:rPr>
        <w:t>6</w:t>
      </w:r>
      <w:r>
        <w:rPr>
          <w:rFonts w:hint="eastAsia" w:ascii="Times New Roman" w:hAnsi="Times New Roman" w:eastAsia="仿宋" w:cs="Times New Roman"/>
          <w:sz w:val="24"/>
          <w:szCs w:val="24"/>
        </w:rPr>
        <w:t>月1</w:t>
      </w:r>
      <w:r>
        <w:rPr>
          <w:rFonts w:ascii="Times New Roman" w:hAnsi="Times New Roman" w:eastAsia="仿宋" w:cs="Times New Roman"/>
          <w:sz w:val="24"/>
          <w:szCs w:val="24"/>
        </w:rPr>
        <w:t>8</w:t>
      </w:r>
      <w:r>
        <w:rPr>
          <w:rFonts w:hint="eastAsia" w:ascii="Times New Roman" w:hAnsi="Times New Roman" w:eastAsia="仿宋" w:cs="Times New Roman"/>
          <w:sz w:val="24"/>
          <w:szCs w:val="24"/>
        </w:rPr>
        <w:t>日-</w:t>
      </w:r>
      <w:r>
        <w:rPr>
          <w:rFonts w:ascii="Times New Roman" w:hAnsi="Times New Roman" w:eastAsia="仿宋" w:cs="Times New Roman"/>
          <w:sz w:val="24"/>
          <w:szCs w:val="24"/>
        </w:rPr>
        <w:t>6</w:t>
      </w:r>
      <w:r>
        <w:rPr>
          <w:rFonts w:hint="eastAsia" w:ascii="Times New Roman" w:hAnsi="Times New Roman" w:eastAsia="仿宋" w:cs="Times New Roman"/>
          <w:sz w:val="24"/>
          <w:szCs w:val="24"/>
        </w:rPr>
        <w:t>月</w:t>
      </w:r>
      <w:r>
        <w:rPr>
          <w:rFonts w:ascii="Times New Roman" w:hAnsi="Times New Roman" w:eastAsia="仿宋" w:cs="Times New Roman"/>
          <w:sz w:val="24"/>
          <w:szCs w:val="24"/>
        </w:rPr>
        <w:t>29</w:t>
      </w:r>
      <w:r>
        <w:rPr>
          <w:rFonts w:hint="eastAsia" w:ascii="Times New Roman" w:hAnsi="Times New Roman" w:eastAsia="仿宋" w:cs="Times New Roman"/>
          <w:sz w:val="24"/>
          <w:szCs w:val="24"/>
        </w:rPr>
        <w:t>日）、冬季持续开展1</w:t>
      </w:r>
      <w:r>
        <w:rPr>
          <w:rFonts w:ascii="Times New Roman" w:hAnsi="Times New Roman" w:eastAsia="仿宋" w:cs="Times New Roman"/>
          <w:sz w:val="24"/>
          <w:szCs w:val="24"/>
        </w:rPr>
        <w:t>0</w:t>
      </w:r>
      <w:r>
        <w:rPr>
          <w:rFonts w:hint="eastAsia" w:ascii="Times New Roman" w:hAnsi="Times New Roman" w:eastAsia="仿宋" w:cs="Times New Roman"/>
          <w:sz w:val="24"/>
          <w:szCs w:val="24"/>
        </w:rPr>
        <w:t>天（</w:t>
      </w:r>
      <w:r>
        <w:rPr>
          <w:rFonts w:ascii="Times New Roman" w:hAnsi="Times New Roman" w:eastAsia="仿宋" w:cs="Times New Roman"/>
          <w:sz w:val="24"/>
          <w:szCs w:val="24"/>
        </w:rPr>
        <w:t>2024年12月19日-12月28日</w:t>
      </w:r>
      <w:r>
        <w:rPr>
          <w:rFonts w:hint="eastAsia" w:ascii="Times New Roman" w:hAnsi="Times New Roman" w:eastAsia="仿宋" w:cs="Times New Roman"/>
          <w:sz w:val="24"/>
          <w:szCs w:val="24"/>
        </w:rPr>
        <w:t>）。在</w:t>
      </w:r>
      <w:r>
        <w:rPr>
          <w:rFonts w:ascii="Times New Roman" w:hAnsi="Times New Roman" w:eastAsia="仿宋" w:cs="Times New Roman"/>
          <w:sz w:val="24"/>
          <w:szCs w:val="24"/>
        </w:rPr>
        <w:t>站台</w:t>
      </w:r>
      <w:r>
        <w:rPr>
          <w:rFonts w:hint="eastAsia" w:ascii="Times New Roman" w:hAnsi="Times New Roman" w:eastAsia="仿宋" w:cs="Times New Roman"/>
          <w:sz w:val="24"/>
          <w:szCs w:val="24"/>
        </w:rPr>
        <w:t>和</w:t>
      </w:r>
      <w:r>
        <w:rPr>
          <w:rFonts w:ascii="Times New Roman" w:hAnsi="Times New Roman" w:eastAsia="仿宋" w:cs="Times New Roman"/>
          <w:sz w:val="24"/>
          <w:szCs w:val="24"/>
        </w:rPr>
        <w:t>站厅各设置1个采样点，每个采样点上下午各进行2次采集</w:t>
      </w:r>
      <w:r>
        <w:rPr>
          <w:rFonts w:hint="eastAsia" w:ascii="Times New Roman" w:hAnsi="Times New Roman" w:eastAsia="仿宋" w:cs="Times New Roman"/>
          <w:sz w:val="24"/>
          <w:szCs w:val="24"/>
        </w:rPr>
        <w:t>，同步使用参比方法和新方法进行样品采集，</w:t>
      </w:r>
      <w:r>
        <w:rPr>
          <w:rFonts w:ascii="Times New Roman" w:hAnsi="Times New Roman" w:eastAsia="仿宋" w:cs="Times New Roman"/>
          <w:sz w:val="24"/>
          <w:szCs w:val="24"/>
        </w:rPr>
        <w:t>两种方法采集时间均为10min。静电场采集技术和Andersen采样器</w:t>
      </w:r>
      <w:r>
        <w:rPr>
          <w:rFonts w:hint="eastAsia" w:ascii="Times New Roman" w:hAnsi="Times New Roman" w:eastAsia="仿宋" w:cs="Times New Roman"/>
          <w:sz w:val="24"/>
          <w:szCs w:val="24"/>
        </w:rPr>
        <w:t>两季</w:t>
      </w:r>
      <w:r>
        <w:rPr>
          <w:rFonts w:ascii="Times New Roman" w:hAnsi="Times New Roman" w:eastAsia="仿宋" w:cs="Times New Roman"/>
          <w:sz w:val="24"/>
          <w:szCs w:val="24"/>
        </w:rPr>
        <w:t>各收集到80份结果，合计320份结果。按照采气量、平皿面积进行换算。</w:t>
      </w:r>
    </w:p>
    <w:p w14:paraId="5EF0A23F">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在2个采样点附近各设置</w:t>
      </w:r>
      <w:r>
        <w:rPr>
          <w:rFonts w:ascii="Times New Roman" w:hAnsi="Times New Roman" w:eastAsia="仿宋" w:cs="Times New Roman"/>
          <w:sz w:val="24"/>
          <w:szCs w:val="24"/>
        </w:rPr>
        <w:t>1</w:t>
      </w:r>
      <w:r>
        <w:rPr>
          <w:rFonts w:hint="eastAsia" w:ascii="Times New Roman" w:hAnsi="Times New Roman" w:eastAsia="仿宋" w:cs="Times New Roman"/>
          <w:sz w:val="24"/>
          <w:szCs w:val="24"/>
        </w:rPr>
        <w:t>个沉降法收集点，每个收集点放置</w:t>
      </w:r>
      <w:r>
        <w:rPr>
          <w:rFonts w:ascii="Times New Roman" w:hAnsi="Times New Roman" w:eastAsia="仿宋" w:cs="Times New Roman"/>
          <w:sz w:val="24"/>
          <w:szCs w:val="24"/>
        </w:rPr>
        <w:t>5</w:t>
      </w:r>
      <w:r>
        <w:rPr>
          <w:rFonts w:hint="eastAsia" w:ascii="Times New Roman" w:hAnsi="Times New Roman" w:eastAsia="仿宋" w:cs="Times New Roman"/>
          <w:sz w:val="24"/>
          <w:szCs w:val="24"/>
        </w:rPr>
        <w:t>块培养平皿，夏季放置全天1</w:t>
      </w:r>
      <w:r>
        <w:rPr>
          <w:rFonts w:ascii="Times New Roman" w:hAnsi="Times New Roman" w:eastAsia="仿宋" w:cs="Times New Roman"/>
          <w:sz w:val="24"/>
          <w:szCs w:val="24"/>
        </w:rPr>
        <w:t>440</w:t>
      </w:r>
      <w:r>
        <w:rPr>
          <w:rFonts w:hint="eastAsia" w:ascii="Times New Roman" w:hAnsi="Times New Roman" w:eastAsia="仿宋" w:cs="Times New Roman"/>
          <w:sz w:val="24"/>
          <w:szCs w:val="24"/>
        </w:rPr>
        <w:t>min后收回实验室培养，冬季放置</w:t>
      </w:r>
      <w:r>
        <w:rPr>
          <w:rFonts w:ascii="Times New Roman" w:hAnsi="Times New Roman" w:eastAsia="仿宋" w:cs="Times New Roman"/>
          <w:sz w:val="24"/>
          <w:szCs w:val="24"/>
        </w:rPr>
        <w:t>10</w:t>
      </w:r>
      <w:r>
        <w:rPr>
          <w:rFonts w:hint="eastAsia" w:ascii="Times New Roman" w:hAnsi="Times New Roman" w:eastAsia="仿宋" w:cs="Times New Roman"/>
          <w:sz w:val="24"/>
          <w:szCs w:val="24"/>
        </w:rPr>
        <w:t>min后收回实验室培养（因为冬季地铁站内温湿度较低，培养皿放置全天后会变得太干而没有检测结果，所以冬季沉降时间为1</w:t>
      </w:r>
      <w:r>
        <w:rPr>
          <w:rFonts w:ascii="Times New Roman" w:hAnsi="Times New Roman" w:eastAsia="仿宋" w:cs="Times New Roman"/>
          <w:sz w:val="24"/>
          <w:szCs w:val="24"/>
        </w:rPr>
        <w:t>0</w:t>
      </w:r>
      <w:r>
        <w:rPr>
          <w:rFonts w:hint="eastAsia" w:ascii="Times New Roman" w:hAnsi="Times New Roman" w:eastAsia="仿宋" w:cs="Times New Roman"/>
          <w:sz w:val="24"/>
          <w:szCs w:val="24"/>
        </w:rPr>
        <w:t>min）。按照暴露</w:t>
      </w:r>
      <w:r>
        <w:rPr>
          <w:rFonts w:ascii="Times New Roman" w:hAnsi="Times New Roman" w:eastAsia="仿宋" w:cs="Times New Roman"/>
          <w:sz w:val="24"/>
          <w:szCs w:val="24"/>
        </w:rPr>
        <w:t>5min</w:t>
      </w:r>
      <w:r>
        <w:rPr>
          <w:rFonts w:hint="eastAsia" w:ascii="Times New Roman" w:hAnsi="Times New Roman" w:eastAsia="仿宋" w:cs="Times New Roman"/>
          <w:sz w:val="24"/>
          <w:szCs w:val="24"/>
        </w:rPr>
        <w:t>相当于</w:t>
      </w:r>
      <w:r>
        <w:rPr>
          <w:rFonts w:ascii="Times New Roman" w:hAnsi="Times New Roman" w:eastAsia="仿宋" w:cs="Times New Roman"/>
          <w:sz w:val="24"/>
          <w:szCs w:val="24"/>
        </w:rPr>
        <w:t>10L</w:t>
      </w:r>
      <w:r>
        <w:rPr>
          <w:rFonts w:hint="eastAsia" w:ascii="Times New Roman" w:hAnsi="Times New Roman" w:eastAsia="仿宋" w:cs="Times New Roman"/>
          <w:sz w:val="24"/>
          <w:szCs w:val="24"/>
        </w:rPr>
        <w:t>空气进行换算。</w:t>
      </w:r>
    </w:p>
    <w:p w14:paraId="508D2EC4">
      <w:pPr>
        <w:spacing w:line="240" w:lineRule="auto"/>
        <w:jc w:val="center"/>
        <w:rPr>
          <w:rFonts w:ascii="仿宋" w:hAnsi="仿宋" w:eastAsia="仿宋" w:cs="Times New Roman"/>
          <w:sz w:val="24"/>
          <w:szCs w:val="24"/>
        </w:rPr>
      </w:pPr>
      <w:r>
        <w:rPr>
          <w:rFonts w:hint="eastAsia" w:ascii="仿宋" w:hAnsi="仿宋" w:eastAsia="仿宋" w:cs="Times New Roman"/>
          <w:sz w:val="24"/>
          <w:szCs w:val="24"/>
        </w:rPr>
        <w:t>各方法采样流速、采样时长</w:t>
      </w:r>
    </w:p>
    <w:tbl>
      <w:tblPr>
        <w:tblStyle w:val="26"/>
        <w:tblW w:w="5000" w:type="pct"/>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64"/>
        <w:gridCol w:w="2624"/>
        <w:gridCol w:w="1967"/>
        <w:gridCol w:w="1967"/>
      </w:tblGrid>
      <w:tr w14:paraId="2CF292A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152" w:type="pct"/>
            <w:tcBorders>
              <w:top w:val="single" w:color="auto" w:sz="4" w:space="0"/>
              <w:bottom w:val="single" w:color="auto" w:sz="4" w:space="0"/>
            </w:tcBorders>
            <w:vAlign w:val="center"/>
          </w:tcPr>
          <w:p w14:paraId="5347F3E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default" w:ascii="Times New Roman" w:hAnsi="Times New Roman" w:eastAsia="仿宋" w:cs="Times New Roman"/>
                <w:kern w:val="0"/>
                <w:sz w:val="22"/>
                <w:szCs w:val="22"/>
              </w:rPr>
              <w:t>方法</w:t>
            </w:r>
          </w:p>
        </w:tc>
        <w:tc>
          <w:tcPr>
            <w:tcW w:w="1539" w:type="pct"/>
            <w:tcBorders>
              <w:top w:val="single" w:color="auto" w:sz="4" w:space="0"/>
              <w:bottom w:val="single" w:color="auto" w:sz="4" w:space="0"/>
            </w:tcBorders>
            <w:vAlign w:val="center"/>
          </w:tcPr>
          <w:p w14:paraId="0A65224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default" w:ascii="Times New Roman" w:hAnsi="Times New Roman" w:eastAsia="仿宋" w:cs="Times New Roman"/>
                <w:kern w:val="0"/>
                <w:sz w:val="22"/>
                <w:szCs w:val="22"/>
              </w:rPr>
              <w:t>采样流速（L/min）</w:t>
            </w:r>
          </w:p>
        </w:tc>
        <w:tc>
          <w:tcPr>
            <w:tcW w:w="1154" w:type="pct"/>
            <w:tcBorders>
              <w:top w:val="single" w:color="auto" w:sz="4" w:space="0"/>
              <w:bottom w:val="single" w:color="auto" w:sz="4" w:space="0"/>
            </w:tcBorders>
            <w:vAlign w:val="center"/>
          </w:tcPr>
          <w:p w14:paraId="64E03E6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单次</w:t>
            </w:r>
            <w:r>
              <w:rPr>
                <w:rFonts w:hint="default" w:ascii="Times New Roman" w:hAnsi="Times New Roman" w:eastAsia="仿宋" w:cs="Times New Roman"/>
                <w:kern w:val="0"/>
                <w:sz w:val="22"/>
                <w:szCs w:val="22"/>
              </w:rPr>
              <w:t>采样</w:t>
            </w:r>
            <w:r>
              <w:rPr>
                <w:rFonts w:hint="eastAsia" w:ascii="Times New Roman" w:hAnsi="Times New Roman" w:eastAsia="仿宋" w:cs="Times New Roman"/>
                <w:kern w:val="0"/>
                <w:sz w:val="22"/>
                <w:szCs w:val="22"/>
              </w:rPr>
              <w:t>平皿</w:t>
            </w:r>
          </w:p>
        </w:tc>
        <w:tc>
          <w:tcPr>
            <w:tcW w:w="1154" w:type="pct"/>
            <w:tcBorders>
              <w:top w:val="single" w:color="auto" w:sz="4" w:space="0"/>
              <w:bottom w:val="single" w:color="auto" w:sz="4" w:space="0"/>
            </w:tcBorders>
            <w:vAlign w:val="center"/>
          </w:tcPr>
          <w:p w14:paraId="09C6DC0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采样时长</w:t>
            </w:r>
          </w:p>
        </w:tc>
      </w:tr>
      <w:tr w14:paraId="0644339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152" w:type="pct"/>
            <w:tcBorders>
              <w:top w:val="single" w:color="auto" w:sz="4" w:space="0"/>
            </w:tcBorders>
            <w:vAlign w:val="center"/>
          </w:tcPr>
          <w:p w14:paraId="70F1531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静电场</w:t>
            </w:r>
            <w:r>
              <w:rPr>
                <w:rFonts w:hint="default" w:ascii="Times New Roman" w:hAnsi="Times New Roman" w:eastAsia="仿宋" w:cs="Times New Roman"/>
                <w:kern w:val="0"/>
                <w:sz w:val="22"/>
                <w:szCs w:val="22"/>
              </w:rPr>
              <w:t>采样器</w:t>
            </w:r>
          </w:p>
        </w:tc>
        <w:tc>
          <w:tcPr>
            <w:tcW w:w="1539" w:type="pct"/>
            <w:tcBorders>
              <w:top w:val="single" w:color="auto" w:sz="4" w:space="0"/>
            </w:tcBorders>
            <w:shd w:val="clear" w:color="auto" w:fill="auto"/>
            <w:vAlign w:val="center"/>
          </w:tcPr>
          <w:p w14:paraId="750E1A5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highlight w:val="yellow"/>
              </w:rPr>
            </w:pPr>
            <w:r>
              <w:rPr>
                <w:rFonts w:hint="default" w:ascii="Times New Roman" w:hAnsi="Times New Roman" w:eastAsia="仿宋" w:cs="Times New Roman"/>
                <w:kern w:val="0"/>
                <w:sz w:val="22"/>
                <w:szCs w:val="22"/>
              </w:rPr>
              <w:t>5</w:t>
            </w:r>
          </w:p>
        </w:tc>
        <w:tc>
          <w:tcPr>
            <w:tcW w:w="1154" w:type="pct"/>
            <w:tcBorders>
              <w:top w:val="single" w:color="auto" w:sz="4" w:space="0"/>
            </w:tcBorders>
            <w:vAlign w:val="center"/>
          </w:tcPr>
          <w:p w14:paraId="3916167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方形平皿2块</w:t>
            </w:r>
          </w:p>
        </w:tc>
        <w:tc>
          <w:tcPr>
            <w:tcW w:w="1154" w:type="pct"/>
            <w:tcBorders>
              <w:top w:val="single" w:color="auto" w:sz="4" w:space="0"/>
            </w:tcBorders>
            <w:vAlign w:val="center"/>
          </w:tcPr>
          <w:p w14:paraId="1F687B0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1</w:t>
            </w:r>
            <w:r>
              <w:rPr>
                <w:rFonts w:hint="default" w:ascii="Times New Roman" w:hAnsi="Times New Roman" w:eastAsia="仿宋" w:cs="Times New Roman"/>
                <w:kern w:val="0"/>
                <w:sz w:val="22"/>
                <w:szCs w:val="22"/>
              </w:rPr>
              <w:t>0min</w:t>
            </w:r>
          </w:p>
        </w:tc>
      </w:tr>
      <w:tr w14:paraId="6398640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152" w:type="pct"/>
            <w:vAlign w:val="center"/>
          </w:tcPr>
          <w:p w14:paraId="017C6B0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default" w:ascii="Times New Roman" w:hAnsi="Times New Roman" w:eastAsia="仿宋" w:cs="Times New Roman"/>
                <w:kern w:val="0"/>
                <w:sz w:val="22"/>
                <w:szCs w:val="22"/>
              </w:rPr>
              <w:t>Andersen</w:t>
            </w:r>
          </w:p>
        </w:tc>
        <w:tc>
          <w:tcPr>
            <w:tcW w:w="1539" w:type="pct"/>
            <w:vAlign w:val="center"/>
          </w:tcPr>
          <w:p w14:paraId="1D23658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highlight w:val="yellow"/>
              </w:rPr>
            </w:pPr>
            <w:r>
              <w:rPr>
                <w:rFonts w:hint="default" w:ascii="Times New Roman" w:hAnsi="Times New Roman" w:eastAsia="仿宋" w:cs="Times New Roman"/>
                <w:kern w:val="0"/>
                <w:sz w:val="22"/>
                <w:szCs w:val="22"/>
              </w:rPr>
              <w:t>28.3</w:t>
            </w:r>
          </w:p>
        </w:tc>
        <w:tc>
          <w:tcPr>
            <w:tcW w:w="1154" w:type="pct"/>
            <w:vAlign w:val="center"/>
          </w:tcPr>
          <w:p w14:paraId="71F9DDE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圆形平皿6块</w:t>
            </w:r>
          </w:p>
        </w:tc>
        <w:tc>
          <w:tcPr>
            <w:tcW w:w="1154" w:type="pct"/>
            <w:vAlign w:val="center"/>
          </w:tcPr>
          <w:p w14:paraId="19C2DCA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1</w:t>
            </w:r>
            <w:r>
              <w:rPr>
                <w:rFonts w:hint="default" w:ascii="Times New Roman" w:hAnsi="Times New Roman" w:eastAsia="仿宋" w:cs="Times New Roman"/>
                <w:kern w:val="0"/>
                <w:sz w:val="22"/>
                <w:szCs w:val="22"/>
              </w:rPr>
              <w:t>0min</w:t>
            </w:r>
          </w:p>
        </w:tc>
      </w:tr>
      <w:tr w14:paraId="7B27EF5C">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152" w:type="pct"/>
            <w:vAlign w:val="center"/>
          </w:tcPr>
          <w:p w14:paraId="7702ABF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沉降法（夏季）</w:t>
            </w:r>
          </w:p>
        </w:tc>
        <w:tc>
          <w:tcPr>
            <w:tcW w:w="1539" w:type="pct"/>
            <w:vAlign w:val="center"/>
          </w:tcPr>
          <w:p w14:paraId="3C8CE39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w:t>
            </w:r>
          </w:p>
        </w:tc>
        <w:tc>
          <w:tcPr>
            <w:tcW w:w="1154" w:type="pct"/>
            <w:vAlign w:val="center"/>
          </w:tcPr>
          <w:p w14:paraId="0403502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圆形平皿</w:t>
            </w:r>
            <w:r>
              <w:rPr>
                <w:rFonts w:hint="default" w:ascii="Times New Roman" w:hAnsi="Times New Roman" w:eastAsia="仿宋" w:cs="Times New Roman"/>
                <w:kern w:val="0"/>
                <w:sz w:val="22"/>
                <w:szCs w:val="22"/>
              </w:rPr>
              <w:t>5块</w:t>
            </w:r>
          </w:p>
        </w:tc>
        <w:tc>
          <w:tcPr>
            <w:tcW w:w="1154" w:type="pct"/>
            <w:vAlign w:val="center"/>
          </w:tcPr>
          <w:p w14:paraId="0E26A22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1</w:t>
            </w:r>
            <w:r>
              <w:rPr>
                <w:rFonts w:hint="default" w:ascii="Times New Roman" w:hAnsi="Times New Roman" w:eastAsia="仿宋" w:cs="Times New Roman"/>
                <w:kern w:val="0"/>
                <w:sz w:val="22"/>
                <w:szCs w:val="22"/>
              </w:rPr>
              <w:t>440</w:t>
            </w:r>
            <w:r>
              <w:rPr>
                <w:rFonts w:hint="eastAsia" w:ascii="Times New Roman" w:hAnsi="Times New Roman" w:eastAsia="仿宋" w:cs="Times New Roman"/>
                <w:kern w:val="0"/>
                <w:sz w:val="22"/>
                <w:szCs w:val="22"/>
              </w:rPr>
              <w:t>min</w:t>
            </w:r>
          </w:p>
        </w:tc>
      </w:tr>
      <w:tr w14:paraId="6524362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152" w:type="pct"/>
            <w:vAlign w:val="center"/>
          </w:tcPr>
          <w:p w14:paraId="6841A36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沉降法（冬季）</w:t>
            </w:r>
          </w:p>
        </w:tc>
        <w:tc>
          <w:tcPr>
            <w:tcW w:w="1539" w:type="pct"/>
            <w:vAlign w:val="center"/>
          </w:tcPr>
          <w:p w14:paraId="392677D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w:t>
            </w:r>
          </w:p>
        </w:tc>
        <w:tc>
          <w:tcPr>
            <w:tcW w:w="1154" w:type="pct"/>
            <w:vAlign w:val="center"/>
          </w:tcPr>
          <w:p w14:paraId="13D1442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圆形平皿</w:t>
            </w:r>
            <w:r>
              <w:rPr>
                <w:rFonts w:hint="default" w:ascii="Times New Roman" w:hAnsi="Times New Roman" w:eastAsia="仿宋" w:cs="Times New Roman"/>
                <w:kern w:val="0"/>
                <w:sz w:val="22"/>
                <w:szCs w:val="22"/>
              </w:rPr>
              <w:t>5</w:t>
            </w:r>
            <w:r>
              <w:rPr>
                <w:rFonts w:hint="eastAsia" w:ascii="Times New Roman" w:hAnsi="Times New Roman" w:eastAsia="仿宋" w:cs="Times New Roman"/>
                <w:kern w:val="0"/>
                <w:sz w:val="22"/>
                <w:szCs w:val="22"/>
              </w:rPr>
              <w:t>块</w:t>
            </w:r>
          </w:p>
        </w:tc>
        <w:tc>
          <w:tcPr>
            <w:tcW w:w="1154" w:type="pct"/>
            <w:vAlign w:val="center"/>
          </w:tcPr>
          <w:p w14:paraId="5E2FA6F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1</w:t>
            </w:r>
            <w:r>
              <w:rPr>
                <w:rFonts w:hint="default" w:ascii="Times New Roman" w:hAnsi="Times New Roman" w:eastAsia="仿宋" w:cs="Times New Roman"/>
                <w:kern w:val="0"/>
                <w:sz w:val="22"/>
                <w:szCs w:val="22"/>
              </w:rPr>
              <w:t>0min</w:t>
            </w:r>
          </w:p>
        </w:tc>
      </w:tr>
    </w:tbl>
    <w:p w14:paraId="393F5941">
      <w:pPr>
        <w:spacing w:line="240" w:lineRule="auto"/>
        <w:ind w:firstLine="480" w:firstLineChars="200"/>
        <w:rPr>
          <w:rFonts w:eastAsia="仿宋"/>
          <w:szCs w:val="24"/>
        </w:rPr>
      </w:pPr>
    </w:p>
    <w:p w14:paraId="4E4FE496">
      <w:pPr>
        <w:pStyle w:val="2"/>
        <w:spacing w:line="240" w:lineRule="auto"/>
        <w:rPr>
          <w:rFonts w:eastAsia="仿宋"/>
          <w:szCs w:val="24"/>
        </w:rPr>
      </w:pPr>
      <w:bookmarkStart w:id="193" w:name="_Toc2166"/>
      <w:bookmarkStart w:id="194" w:name="_Toc31395"/>
      <w:bookmarkStart w:id="195" w:name="_Toc188029655"/>
      <w:r>
        <w:rPr>
          <w:rFonts w:hint="eastAsia" w:eastAsia="仿宋"/>
          <w:szCs w:val="24"/>
        </w:rPr>
        <w:t>2．评价方法与结果</w:t>
      </w:r>
      <w:bookmarkEnd w:id="192"/>
      <w:bookmarkEnd w:id="193"/>
      <w:bookmarkEnd w:id="194"/>
      <w:bookmarkEnd w:id="195"/>
    </w:p>
    <w:p w14:paraId="6A011D64">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采用</w:t>
      </w:r>
      <w:r>
        <w:rPr>
          <w:rFonts w:ascii="Times New Roman" w:hAnsi="Times New Roman" w:eastAsia="仿宋" w:cs="Times New Roman"/>
          <w:sz w:val="24"/>
          <w:szCs w:val="24"/>
        </w:rPr>
        <w:t>Andersen采样器</w:t>
      </w:r>
      <w:r>
        <w:rPr>
          <w:rFonts w:hint="eastAsia" w:ascii="Times New Roman" w:hAnsi="Times New Roman" w:eastAsia="仿宋" w:cs="Times New Roman"/>
          <w:sz w:val="24"/>
          <w:szCs w:val="24"/>
        </w:rPr>
        <w:t>作为标准参比方法，沉降法作为补充参比方法，比对新技术静电场采样器结果。主要应用可行性、准确性和稳定性的部分指标对结果进行评价。</w:t>
      </w:r>
    </w:p>
    <w:p w14:paraId="47D1696F">
      <w:pPr>
        <w:pStyle w:val="3"/>
        <w:spacing w:line="240" w:lineRule="auto"/>
        <w:rPr>
          <w:rFonts w:eastAsia="仿宋" w:cs="Times New Roman"/>
          <w:szCs w:val="24"/>
        </w:rPr>
      </w:pPr>
      <w:bookmarkStart w:id="196" w:name="_Toc2454"/>
      <w:bookmarkStart w:id="197" w:name="_Toc172211044"/>
      <w:bookmarkStart w:id="198" w:name="_Toc21501"/>
      <w:bookmarkStart w:id="199" w:name="_Toc188029656"/>
      <w:r>
        <w:rPr>
          <w:rFonts w:eastAsia="仿宋" w:cs="Times New Roman"/>
          <w:szCs w:val="24"/>
        </w:rPr>
        <w:t>（1）可行性分析</w:t>
      </w:r>
      <w:bookmarkEnd w:id="196"/>
      <w:bookmarkEnd w:id="197"/>
      <w:bookmarkEnd w:id="198"/>
      <w:bookmarkEnd w:id="199"/>
    </w:p>
    <w:p w14:paraId="47C69493">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以不同采样方法的样品检测结果</w:t>
      </w:r>
      <w:r>
        <w:rPr>
          <w:rFonts w:hint="eastAsia" w:ascii="Times New Roman" w:hAnsi="Times New Roman" w:eastAsia="仿宋" w:cs="Times New Roman"/>
          <w:b/>
          <w:bCs/>
          <w:sz w:val="24"/>
          <w:szCs w:val="24"/>
        </w:rPr>
        <w:t>绝对含量</w:t>
      </w:r>
      <w:r>
        <w:rPr>
          <w:rFonts w:hint="eastAsia" w:ascii="Times New Roman" w:hAnsi="Times New Roman" w:eastAsia="仿宋" w:cs="Times New Roman"/>
          <w:sz w:val="24"/>
          <w:szCs w:val="24"/>
        </w:rPr>
        <w:t>及其</w:t>
      </w:r>
      <w:r>
        <w:rPr>
          <w:rFonts w:hint="eastAsia" w:ascii="Times New Roman" w:hAnsi="Times New Roman" w:eastAsia="仿宋" w:cs="Times New Roman"/>
          <w:b/>
          <w:bCs/>
          <w:sz w:val="24"/>
          <w:szCs w:val="24"/>
        </w:rPr>
        <w:t>组间差异情况</w:t>
      </w:r>
      <w:r>
        <w:rPr>
          <w:rFonts w:hint="eastAsia" w:ascii="Times New Roman" w:hAnsi="Times New Roman" w:eastAsia="仿宋" w:cs="Times New Roman"/>
          <w:sz w:val="24"/>
          <w:szCs w:val="24"/>
        </w:rPr>
        <w:t>作为技术可行性指标，来衡量对比方法的可行性，评价指标包括检出率和合格率。</w:t>
      </w:r>
    </w:p>
    <w:p w14:paraId="283EAFA8">
      <w:pPr>
        <w:pStyle w:val="4"/>
        <w:spacing w:line="240" w:lineRule="auto"/>
        <w:ind w:firstLine="482"/>
        <w:rPr>
          <w:rFonts w:cs="Times New Roman"/>
        </w:rPr>
      </w:pPr>
      <w:bookmarkStart w:id="200" w:name="_Toc12795"/>
      <w:bookmarkStart w:id="201" w:name="_Toc2436"/>
      <w:bookmarkStart w:id="202" w:name="_Toc188029657"/>
      <w:r>
        <w:rPr>
          <w:rFonts w:cs="Times New Roman"/>
        </w:rPr>
        <w:t>1）检出率</w:t>
      </w:r>
      <w:bookmarkEnd w:id="200"/>
      <w:bookmarkEnd w:id="201"/>
      <w:bookmarkEnd w:id="202"/>
    </w:p>
    <w:p w14:paraId="07E59B39">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使用样本及整体的检出率作为评价指标，衡量新方法在低浓度情况下的可行性。性能评估原则：</w:t>
      </w:r>
    </w:p>
    <w:p w14:paraId="0E808F5C">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a</w:t>
      </w:r>
      <w:r>
        <w:rPr>
          <w:rFonts w:ascii="Times New Roman" w:hAnsi="Times New Roman" w:eastAsia="仿宋" w:cs="Times New Roman"/>
          <w:sz w:val="24"/>
          <w:szCs w:val="24"/>
        </w:rPr>
        <w:t>.</w:t>
      </w:r>
      <w:r>
        <w:rPr>
          <w:rFonts w:hint="eastAsia" w:ascii="Times New Roman" w:hAnsi="Times New Roman" w:eastAsia="仿宋" w:cs="Times New Roman"/>
          <w:sz w:val="24"/>
          <w:szCs w:val="24"/>
        </w:rPr>
        <w:t>对于单个样品，若参比方法可检出的，新方法也可检出，认为新方法可行性较高；若参比方法可检出的，新方法未检出，认为新方法可行性较低。</w:t>
      </w:r>
    </w:p>
    <w:p w14:paraId="750871FE">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b</w:t>
      </w:r>
      <w:r>
        <w:rPr>
          <w:rFonts w:ascii="Times New Roman" w:hAnsi="Times New Roman" w:eastAsia="仿宋" w:cs="Times New Roman"/>
          <w:sz w:val="24"/>
          <w:szCs w:val="24"/>
        </w:rPr>
        <w:t>.</w:t>
      </w:r>
      <w:r>
        <w:rPr>
          <w:rFonts w:hint="eastAsia" w:ascii="Times New Roman" w:hAnsi="Times New Roman" w:eastAsia="仿宋" w:cs="Times New Roman"/>
          <w:sz w:val="24"/>
          <w:szCs w:val="24"/>
        </w:rPr>
        <w:t>对于整体样品，若新方法检出率大于或等于参比方法，认为新方法可行性较高；若新方法检出率小于参比方法，则认为新方法可行性较低。</w:t>
      </w:r>
    </w:p>
    <w:p w14:paraId="600A189B">
      <w:pPr>
        <w:spacing w:line="240" w:lineRule="auto"/>
        <w:ind w:firstLine="480" w:firstLineChars="200"/>
        <w:rPr>
          <w:rFonts w:ascii="Times New Roman" w:hAnsi="Times New Roman" w:eastAsia="仿宋" w:cs="Times New Roman"/>
          <w:sz w:val="24"/>
          <w:szCs w:val="24"/>
        </w:rPr>
      </w:pPr>
      <w:r>
        <w:rPr>
          <w:rFonts w:ascii="Times New Roman" w:hAnsi="Times New Roman" w:eastAsia="仿宋" w:cs="Times New Roman"/>
          <w:sz w:val="24"/>
          <w:szCs w:val="24"/>
        </w:rPr>
        <w:t>c.</w:t>
      </w:r>
      <w:r>
        <w:rPr>
          <w:rFonts w:hint="eastAsia" w:ascii="Times New Roman" w:hAnsi="Times New Roman" w:eastAsia="仿宋" w:cs="Times New Roman"/>
          <w:sz w:val="24"/>
          <w:szCs w:val="24"/>
        </w:rPr>
        <w:t>对两种方法检出率进行统计检验，当</w:t>
      </w:r>
      <w:r>
        <w:rPr>
          <w:rFonts w:hint="eastAsia" w:cs="Times New Roman"/>
          <w:i/>
          <w:iCs/>
          <w:sz w:val="24"/>
          <w:szCs w:val="24"/>
          <w:lang w:val="en-US" w:eastAsia="zh-CN"/>
        </w:rPr>
        <w:t>P</w:t>
      </w:r>
      <w:r>
        <w:rPr>
          <w:rFonts w:ascii="Times New Roman" w:hAnsi="Times New Roman" w:eastAsia="仿宋" w:cs="Times New Roman"/>
          <w:sz w:val="24"/>
          <w:szCs w:val="24"/>
        </w:rPr>
        <w:t>&lt;0.05</w:t>
      </w:r>
      <w:r>
        <w:rPr>
          <w:rFonts w:hint="eastAsia" w:ascii="Times New Roman" w:hAnsi="Times New Roman" w:eastAsia="仿宋" w:cs="Times New Roman"/>
          <w:sz w:val="24"/>
          <w:szCs w:val="24"/>
        </w:rPr>
        <w:t>，说明两种方法检出率有差异。</w:t>
      </w:r>
    </w:p>
    <w:p w14:paraId="15B3A084">
      <w:pPr>
        <w:spacing w:line="240" w:lineRule="auto"/>
        <w:ind w:firstLine="480" w:firstLineChars="200"/>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两季分析结果均显示，参比方法和新方法在总体及不同组别的检出率均为1</w:t>
      </w:r>
      <w:r>
        <w:rPr>
          <w:rFonts w:ascii="Times New Roman" w:hAnsi="Times New Roman" w:eastAsia="仿宋" w:cs="Times New Roman"/>
          <w:sz w:val="24"/>
          <w:szCs w:val="24"/>
        </w:rPr>
        <w:t>00</w:t>
      </w:r>
      <w:r>
        <w:rPr>
          <w:rFonts w:hint="eastAsia" w:ascii="Times New Roman" w:hAnsi="Times New Roman" w:eastAsia="仿宋" w:cs="Times New Roman"/>
          <w:sz w:val="24"/>
          <w:szCs w:val="24"/>
        </w:rPr>
        <w:t>%，两种方法检出率相当。经卡方检验，两种方法检出率无差异（</w:t>
      </w:r>
      <w:r>
        <w:rPr>
          <w:rFonts w:hint="eastAsia" w:cs="Times New Roman"/>
          <w:i/>
          <w:iCs/>
          <w:sz w:val="24"/>
          <w:szCs w:val="24"/>
          <w:lang w:val="en-US" w:eastAsia="zh-CN"/>
        </w:rPr>
        <w:t>P</w:t>
      </w:r>
      <w:r>
        <w:rPr>
          <w:rFonts w:ascii="Times New Roman" w:hAnsi="Times New Roman" w:eastAsia="仿宋" w:cs="Times New Roman"/>
          <w:sz w:val="24"/>
          <w:szCs w:val="24"/>
        </w:rPr>
        <w:t>&gt;0.05</w:t>
      </w:r>
      <w:r>
        <w:rPr>
          <w:rFonts w:hint="eastAsia" w:ascii="Times New Roman" w:hAnsi="Times New Roman" w:eastAsia="仿宋" w:cs="Times New Roman"/>
          <w:sz w:val="24"/>
          <w:szCs w:val="24"/>
        </w:rPr>
        <w:t>）（表1）。检出率评价结果认为新方法可行性较高。</w:t>
      </w:r>
    </w:p>
    <w:p w14:paraId="485A9AEC">
      <w:pPr>
        <w:spacing w:line="240" w:lineRule="auto"/>
        <w:jc w:val="center"/>
        <w:rPr>
          <w:rFonts w:ascii="Times New Roman" w:hAnsi="Times New Roman" w:eastAsia="仿宋" w:cs="Times New Roman"/>
          <w:sz w:val="24"/>
          <w:szCs w:val="24"/>
        </w:rPr>
      </w:pPr>
      <w:r>
        <w:rPr>
          <w:rFonts w:hint="eastAsia" w:ascii="Times New Roman" w:hAnsi="Times New Roman" w:eastAsia="仿宋" w:cs="Times New Roman"/>
          <w:sz w:val="24"/>
          <w:szCs w:val="24"/>
        </w:rPr>
        <w:t>表</w:t>
      </w:r>
      <w:r>
        <w:rPr>
          <w:rFonts w:ascii="Times New Roman" w:hAnsi="Times New Roman" w:eastAsia="仿宋" w:cs="Times New Roman"/>
          <w:sz w:val="24"/>
          <w:szCs w:val="24"/>
        </w:rPr>
        <w:t xml:space="preserve">1 </w:t>
      </w:r>
      <w:r>
        <w:rPr>
          <w:rFonts w:hint="eastAsia" w:ascii="Times New Roman" w:hAnsi="Times New Roman" w:eastAsia="仿宋" w:cs="Times New Roman"/>
          <w:sz w:val="24"/>
          <w:szCs w:val="24"/>
        </w:rPr>
        <w:t>两季两种方法检出率卡方检验</w:t>
      </w:r>
    </w:p>
    <w:tbl>
      <w:tblPr>
        <w:tblStyle w:val="26"/>
        <w:tblW w:w="5000" w:type="pct"/>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18"/>
        <w:gridCol w:w="1174"/>
        <w:gridCol w:w="1007"/>
        <w:gridCol w:w="1311"/>
        <w:gridCol w:w="1744"/>
        <w:gridCol w:w="1164"/>
        <w:gridCol w:w="1104"/>
      </w:tblGrid>
      <w:tr w14:paraId="7678AAE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97" w:type="pct"/>
            <w:tcBorders>
              <w:top w:val="single" w:color="auto" w:sz="4" w:space="0"/>
              <w:bottom w:val="single" w:color="auto" w:sz="4" w:space="0"/>
            </w:tcBorders>
            <w:vAlign w:val="center"/>
          </w:tcPr>
          <w:p w14:paraId="56F631D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bookmarkStart w:id="203" w:name="_Hlk187917511"/>
            <w:r>
              <w:rPr>
                <w:rFonts w:hint="eastAsia" w:ascii="Times New Roman" w:hAnsi="Times New Roman" w:eastAsia="仿宋" w:cs="Times New Roman"/>
                <w:kern w:val="0"/>
                <w:sz w:val="22"/>
                <w:szCs w:val="20"/>
              </w:rPr>
              <w:t>季节</w:t>
            </w:r>
          </w:p>
        </w:tc>
        <w:tc>
          <w:tcPr>
            <w:tcW w:w="689" w:type="pct"/>
            <w:tcBorders>
              <w:top w:val="single" w:color="auto" w:sz="4" w:space="0"/>
              <w:bottom w:val="single" w:color="auto" w:sz="4" w:space="0"/>
            </w:tcBorders>
            <w:vAlign w:val="center"/>
          </w:tcPr>
          <w:p w14:paraId="3DE1EFD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方法</w:t>
            </w:r>
          </w:p>
        </w:tc>
        <w:tc>
          <w:tcPr>
            <w:tcW w:w="591" w:type="pct"/>
            <w:tcBorders>
              <w:top w:val="single" w:color="auto" w:sz="4" w:space="0"/>
              <w:bottom w:val="single" w:color="auto" w:sz="4" w:space="0"/>
            </w:tcBorders>
            <w:vAlign w:val="center"/>
          </w:tcPr>
          <w:p w14:paraId="1FBB384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例数</w:t>
            </w:r>
          </w:p>
        </w:tc>
        <w:tc>
          <w:tcPr>
            <w:tcW w:w="769" w:type="pct"/>
            <w:tcBorders>
              <w:top w:val="single" w:color="auto" w:sz="4" w:space="0"/>
              <w:bottom w:val="single" w:color="auto" w:sz="4" w:space="0"/>
            </w:tcBorders>
            <w:vAlign w:val="center"/>
          </w:tcPr>
          <w:p w14:paraId="6C6A59C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检出例数</w:t>
            </w:r>
          </w:p>
        </w:tc>
        <w:tc>
          <w:tcPr>
            <w:tcW w:w="1023" w:type="pct"/>
            <w:tcBorders>
              <w:top w:val="single" w:color="auto" w:sz="4" w:space="0"/>
              <w:bottom w:val="single" w:color="auto" w:sz="4" w:space="0"/>
            </w:tcBorders>
            <w:vAlign w:val="center"/>
          </w:tcPr>
          <w:p w14:paraId="4702EF4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未检出例数</w:t>
            </w:r>
          </w:p>
        </w:tc>
        <w:tc>
          <w:tcPr>
            <w:tcW w:w="683" w:type="pct"/>
            <w:tcBorders>
              <w:top w:val="single" w:color="auto" w:sz="4" w:space="0"/>
              <w:bottom w:val="single" w:color="auto" w:sz="4" w:space="0"/>
            </w:tcBorders>
            <w:vAlign w:val="center"/>
          </w:tcPr>
          <w:p w14:paraId="56A325E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检出率</w:t>
            </w:r>
          </w:p>
        </w:tc>
        <w:tc>
          <w:tcPr>
            <w:tcW w:w="648" w:type="pct"/>
            <w:tcBorders>
              <w:top w:val="single" w:color="auto" w:sz="4" w:space="0"/>
              <w:bottom w:val="single" w:color="auto" w:sz="4" w:space="0"/>
            </w:tcBorders>
            <w:vAlign w:val="center"/>
          </w:tcPr>
          <w:p w14:paraId="4BF0F87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i/>
                <w:iCs/>
                <w:kern w:val="0"/>
                <w:sz w:val="22"/>
                <w:szCs w:val="20"/>
              </w:rPr>
              <w:t>P</w:t>
            </w:r>
            <w:r>
              <w:rPr>
                <w:rFonts w:hint="eastAsia" w:ascii="Times New Roman" w:hAnsi="Times New Roman" w:eastAsia="仿宋" w:cs="Times New Roman"/>
                <w:kern w:val="0"/>
                <w:sz w:val="22"/>
                <w:szCs w:val="20"/>
              </w:rPr>
              <w:t>值</w:t>
            </w:r>
          </w:p>
        </w:tc>
      </w:tr>
      <w:tr w14:paraId="7632D1C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97" w:type="pct"/>
            <w:vMerge w:val="restart"/>
            <w:tcBorders>
              <w:top w:val="single" w:color="auto" w:sz="4" w:space="0"/>
            </w:tcBorders>
            <w:vAlign w:val="center"/>
          </w:tcPr>
          <w:p w14:paraId="0E40FFD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夏季</w:t>
            </w:r>
          </w:p>
        </w:tc>
        <w:tc>
          <w:tcPr>
            <w:tcW w:w="689" w:type="pct"/>
            <w:tcBorders>
              <w:top w:val="single" w:color="auto" w:sz="4" w:space="0"/>
            </w:tcBorders>
            <w:vAlign w:val="center"/>
          </w:tcPr>
          <w:p w14:paraId="6EA39D4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Andersen</w:t>
            </w:r>
            <w:r>
              <w:rPr>
                <w:rFonts w:hint="default" w:ascii="Times New Roman" w:hAnsi="Times New Roman" w:eastAsia="仿宋" w:cs="Times New Roman"/>
                <w:kern w:val="0"/>
                <w:sz w:val="22"/>
                <w:szCs w:val="20"/>
                <w:vertAlign w:val="superscript"/>
              </w:rPr>
              <w:t>*</w:t>
            </w:r>
          </w:p>
        </w:tc>
        <w:tc>
          <w:tcPr>
            <w:tcW w:w="591" w:type="pct"/>
            <w:tcBorders>
              <w:top w:val="single" w:color="auto" w:sz="4" w:space="0"/>
              <w:bottom w:val="nil"/>
            </w:tcBorders>
            <w:vAlign w:val="center"/>
          </w:tcPr>
          <w:p w14:paraId="15D5227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8</w:t>
            </w:r>
            <w:r>
              <w:rPr>
                <w:rFonts w:hint="default" w:ascii="Times New Roman" w:hAnsi="Times New Roman" w:eastAsia="仿宋" w:cs="Times New Roman"/>
                <w:kern w:val="0"/>
                <w:sz w:val="22"/>
                <w:szCs w:val="20"/>
              </w:rPr>
              <w:t>0</w:t>
            </w:r>
          </w:p>
        </w:tc>
        <w:tc>
          <w:tcPr>
            <w:tcW w:w="769" w:type="pct"/>
            <w:tcBorders>
              <w:top w:val="single" w:color="auto" w:sz="4" w:space="0"/>
              <w:bottom w:val="nil"/>
            </w:tcBorders>
            <w:vAlign w:val="center"/>
          </w:tcPr>
          <w:p w14:paraId="2C97939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8</w:t>
            </w:r>
            <w:r>
              <w:rPr>
                <w:rFonts w:hint="default" w:ascii="Times New Roman" w:hAnsi="Times New Roman" w:eastAsia="仿宋" w:cs="Times New Roman"/>
                <w:kern w:val="0"/>
                <w:sz w:val="22"/>
                <w:szCs w:val="20"/>
              </w:rPr>
              <w:t>0</w:t>
            </w:r>
          </w:p>
        </w:tc>
        <w:tc>
          <w:tcPr>
            <w:tcW w:w="1023" w:type="pct"/>
            <w:tcBorders>
              <w:top w:val="single" w:color="auto" w:sz="4" w:space="0"/>
              <w:bottom w:val="nil"/>
            </w:tcBorders>
            <w:vAlign w:val="center"/>
          </w:tcPr>
          <w:p w14:paraId="4E0593F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0</w:t>
            </w:r>
          </w:p>
        </w:tc>
        <w:tc>
          <w:tcPr>
            <w:tcW w:w="683" w:type="pct"/>
            <w:tcBorders>
              <w:top w:val="single" w:color="auto" w:sz="4" w:space="0"/>
            </w:tcBorders>
            <w:vAlign w:val="center"/>
          </w:tcPr>
          <w:p w14:paraId="470B617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100%</w:t>
            </w:r>
          </w:p>
        </w:tc>
        <w:tc>
          <w:tcPr>
            <w:tcW w:w="648" w:type="pct"/>
            <w:vMerge w:val="restart"/>
            <w:tcBorders>
              <w:top w:val="single" w:color="auto" w:sz="4" w:space="0"/>
            </w:tcBorders>
            <w:vAlign w:val="center"/>
          </w:tcPr>
          <w:p w14:paraId="1AA63B0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&gt;0.05</w:t>
            </w:r>
          </w:p>
        </w:tc>
      </w:tr>
      <w:tr w14:paraId="7A61626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97" w:type="pct"/>
            <w:vMerge w:val="continue"/>
            <w:tcBorders>
              <w:bottom w:val="single" w:color="auto" w:sz="4" w:space="0"/>
            </w:tcBorders>
            <w:vAlign w:val="center"/>
          </w:tcPr>
          <w:p w14:paraId="16A7C55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p>
        </w:tc>
        <w:tc>
          <w:tcPr>
            <w:tcW w:w="689" w:type="pct"/>
            <w:vAlign w:val="center"/>
          </w:tcPr>
          <w:p w14:paraId="3D4B98F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静电场</w:t>
            </w:r>
          </w:p>
        </w:tc>
        <w:tc>
          <w:tcPr>
            <w:tcW w:w="591" w:type="pct"/>
            <w:tcBorders>
              <w:top w:val="nil"/>
              <w:bottom w:val="single" w:color="auto" w:sz="4" w:space="0"/>
            </w:tcBorders>
            <w:vAlign w:val="center"/>
          </w:tcPr>
          <w:p w14:paraId="1838123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8</w:t>
            </w:r>
            <w:r>
              <w:rPr>
                <w:rFonts w:hint="default" w:ascii="Times New Roman" w:hAnsi="Times New Roman" w:eastAsia="仿宋" w:cs="Times New Roman"/>
                <w:kern w:val="0"/>
                <w:sz w:val="22"/>
                <w:szCs w:val="20"/>
              </w:rPr>
              <w:t>0</w:t>
            </w:r>
          </w:p>
        </w:tc>
        <w:tc>
          <w:tcPr>
            <w:tcW w:w="769" w:type="pct"/>
            <w:tcBorders>
              <w:top w:val="nil"/>
              <w:bottom w:val="single" w:color="auto" w:sz="4" w:space="0"/>
            </w:tcBorders>
            <w:vAlign w:val="center"/>
          </w:tcPr>
          <w:p w14:paraId="3A1EF98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8</w:t>
            </w:r>
            <w:r>
              <w:rPr>
                <w:rFonts w:hint="default" w:ascii="Times New Roman" w:hAnsi="Times New Roman" w:eastAsia="仿宋" w:cs="Times New Roman"/>
                <w:kern w:val="0"/>
                <w:sz w:val="22"/>
                <w:szCs w:val="20"/>
              </w:rPr>
              <w:t>0</w:t>
            </w:r>
          </w:p>
        </w:tc>
        <w:tc>
          <w:tcPr>
            <w:tcW w:w="1023" w:type="pct"/>
            <w:tcBorders>
              <w:top w:val="nil"/>
              <w:bottom w:val="single" w:color="auto" w:sz="4" w:space="0"/>
            </w:tcBorders>
            <w:vAlign w:val="center"/>
          </w:tcPr>
          <w:p w14:paraId="5157A96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0</w:t>
            </w:r>
          </w:p>
        </w:tc>
        <w:tc>
          <w:tcPr>
            <w:tcW w:w="683" w:type="pct"/>
            <w:vAlign w:val="center"/>
          </w:tcPr>
          <w:p w14:paraId="2B0B9E5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100%</w:t>
            </w:r>
          </w:p>
        </w:tc>
        <w:tc>
          <w:tcPr>
            <w:tcW w:w="648" w:type="pct"/>
            <w:vMerge w:val="continue"/>
            <w:tcBorders>
              <w:bottom w:val="single" w:color="auto" w:sz="4" w:space="0"/>
            </w:tcBorders>
            <w:vAlign w:val="center"/>
          </w:tcPr>
          <w:p w14:paraId="77C5CD4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p>
        </w:tc>
      </w:tr>
      <w:tr w14:paraId="3167CEA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97" w:type="pct"/>
            <w:vMerge w:val="restart"/>
            <w:tcBorders>
              <w:top w:val="single" w:color="auto" w:sz="4" w:space="0"/>
            </w:tcBorders>
            <w:vAlign w:val="center"/>
          </w:tcPr>
          <w:p w14:paraId="0507FCA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冬季</w:t>
            </w:r>
          </w:p>
        </w:tc>
        <w:tc>
          <w:tcPr>
            <w:tcW w:w="689" w:type="pct"/>
            <w:tcBorders>
              <w:top w:val="single" w:color="auto" w:sz="4" w:space="0"/>
            </w:tcBorders>
            <w:vAlign w:val="center"/>
          </w:tcPr>
          <w:p w14:paraId="1E737AC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Andersen</w:t>
            </w:r>
            <w:r>
              <w:rPr>
                <w:rFonts w:hint="default" w:ascii="Times New Roman" w:hAnsi="Times New Roman" w:eastAsia="仿宋" w:cs="Times New Roman"/>
                <w:kern w:val="0"/>
                <w:sz w:val="22"/>
                <w:szCs w:val="20"/>
                <w:vertAlign w:val="superscript"/>
              </w:rPr>
              <w:t>*</w:t>
            </w:r>
          </w:p>
        </w:tc>
        <w:tc>
          <w:tcPr>
            <w:tcW w:w="591" w:type="pct"/>
            <w:tcBorders>
              <w:top w:val="single" w:color="auto" w:sz="4" w:space="0"/>
            </w:tcBorders>
            <w:vAlign w:val="center"/>
          </w:tcPr>
          <w:p w14:paraId="4F3A6A1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80</w:t>
            </w:r>
          </w:p>
        </w:tc>
        <w:tc>
          <w:tcPr>
            <w:tcW w:w="769" w:type="pct"/>
            <w:tcBorders>
              <w:top w:val="single" w:color="auto" w:sz="4" w:space="0"/>
            </w:tcBorders>
            <w:vAlign w:val="center"/>
          </w:tcPr>
          <w:p w14:paraId="0F0555A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80</w:t>
            </w:r>
          </w:p>
        </w:tc>
        <w:tc>
          <w:tcPr>
            <w:tcW w:w="1023" w:type="pct"/>
            <w:tcBorders>
              <w:top w:val="single" w:color="auto" w:sz="4" w:space="0"/>
            </w:tcBorders>
            <w:vAlign w:val="center"/>
          </w:tcPr>
          <w:p w14:paraId="5AB43C0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0</w:t>
            </w:r>
          </w:p>
        </w:tc>
        <w:tc>
          <w:tcPr>
            <w:tcW w:w="683" w:type="pct"/>
            <w:tcBorders>
              <w:top w:val="single" w:color="auto" w:sz="4" w:space="0"/>
            </w:tcBorders>
            <w:vAlign w:val="center"/>
          </w:tcPr>
          <w:p w14:paraId="4F6F367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100%</w:t>
            </w:r>
          </w:p>
        </w:tc>
        <w:tc>
          <w:tcPr>
            <w:tcW w:w="648" w:type="pct"/>
            <w:vMerge w:val="restart"/>
            <w:tcBorders>
              <w:top w:val="single" w:color="auto" w:sz="4" w:space="0"/>
            </w:tcBorders>
            <w:vAlign w:val="center"/>
          </w:tcPr>
          <w:p w14:paraId="7888C12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&gt;0.05</w:t>
            </w:r>
          </w:p>
        </w:tc>
      </w:tr>
      <w:tr w14:paraId="06119D9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97" w:type="pct"/>
            <w:vMerge w:val="continue"/>
            <w:vAlign w:val="center"/>
          </w:tcPr>
          <w:p w14:paraId="7670183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p>
        </w:tc>
        <w:tc>
          <w:tcPr>
            <w:tcW w:w="689" w:type="pct"/>
            <w:vAlign w:val="center"/>
          </w:tcPr>
          <w:p w14:paraId="455DC24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静电场</w:t>
            </w:r>
          </w:p>
        </w:tc>
        <w:tc>
          <w:tcPr>
            <w:tcW w:w="591" w:type="pct"/>
            <w:vAlign w:val="center"/>
          </w:tcPr>
          <w:p w14:paraId="38F2348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80</w:t>
            </w:r>
          </w:p>
        </w:tc>
        <w:tc>
          <w:tcPr>
            <w:tcW w:w="769" w:type="pct"/>
            <w:vAlign w:val="center"/>
          </w:tcPr>
          <w:p w14:paraId="3ED5A44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80</w:t>
            </w:r>
          </w:p>
        </w:tc>
        <w:tc>
          <w:tcPr>
            <w:tcW w:w="1023" w:type="pct"/>
            <w:vAlign w:val="center"/>
          </w:tcPr>
          <w:p w14:paraId="250C79C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0</w:t>
            </w:r>
          </w:p>
        </w:tc>
        <w:tc>
          <w:tcPr>
            <w:tcW w:w="683" w:type="pct"/>
            <w:vAlign w:val="center"/>
          </w:tcPr>
          <w:p w14:paraId="6AA8D1C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100%</w:t>
            </w:r>
          </w:p>
        </w:tc>
        <w:tc>
          <w:tcPr>
            <w:tcW w:w="648" w:type="pct"/>
            <w:vMerge w:val="continue"/>
            <w:vAlign w:val="center"/>
          </w:tcPr>
          <w:p w14:paraId="6983F31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p>
        </w:tc>
      </w:tr>
    </w:tbl>
    <w:p w14:paraId="6CD844DB">
      <w:pPr>
        <w:spacing w:line="240" w:lineRule="auto"/>
        <w:ind w:firstLine="480" w:firstLineChars="200"/>
        <w:jc w:val="left"/>
        <w:rPr>
          <w:rFonts w:ascii="Times New Roman" w:hAnsi="Times New Roman" w:eastAsia="仿宋" w:cs="Times New Roman"/>
          <w:sz w:val="24"/>
          <w:szCs w:val="24"/>
        </w:rPr>
      </w:pPr>
      <w:r>
        <w:rPr>
          <w:rFonts w:hint="eastAsia" w:ascii="Times New Roman" w:hAnsi="Times New Roman" w:eastAsia="仿宋" w:cs="Times New Roman"/>
          <w:sz w:val="24"/>
          <w:szCs w:val="24"/>
        </w:rPr>
        <w:t>注：</w:t>
      </w:r>
      <w:r>
        <w:rPr>
          <w:rFonts w:ascii="Times New Roman" w:hAnsi="Times New Roman" w:eastAsia="仿宋" w:cs="Times New Roman"/>
          <w:sz w:val="24"/>
          <w:szCs w:val="24"/>
          <w:vertAlign w:val="superscript"/>
        </w:rPr>
        <w:t>*</w:t>
      </w:r>
      <w:r>
        <w:rPr>
          <w:rFonts w:hint="eastAsia" w:ascii="Times New Roman" w:hAnsi="Times New Roman" w:eastAsia="仿宋" w:cs="Times New Roman"/>
          <w:sz w:val="24"/>
          <w:szCs w:val="24"/>
        </w:rPr>
        <w:t>参比方法。</w:t>
      </w:r>
    </w:p>
    <w:bookmarkEnd w:id="203"/>
    <w:p w14:paraId="316F561A">
      <w:pPr>
        <w:pStyle w:val="4"/>
        <w:spacing w:line="240" w:lineRule="auto"/>
        <w:ind w:firstLine="482"/>
        <w:rPr>
          <w:rFonts w:cs="Times New Roman"/>
        </w:rPr>
      </w:pPr>
      <w:bookmarkStart w:id="204" w:name="_Toc4235"/>
      <w:bookmarkStart w:id="205" w:name="_Toc188029658"/>
      <w:bookmarkStart w:id="206" w:name="_Toc29310"/>
      <w:r>
        <w:rPr>
          <w:rFonts w:cs="Times New Roman"/>
        </w:rPr>
        <w:t>2）超标率</w:t>
      </w:r>
      <w:bookmarkEnd w:id="204"/>
      <w:bookmarkEnd w:id="205"/>
      <w:bookmarkEnd w:id="206"/>
    </w:p>
    <w:p w14:paraId="1746F891">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使用样本超标率作为评价指标，衡量新方法在</w:t>
      </w:r>
      <w:r>
        <w:rPr>
          <w:rFonts w:hint="eastAsia" w:ascii="Times New Roman" w:hAnsi="Times New Roman" w:eastAsia="仿宋" w:cs="Times New Roman"/>
          <w:b/>
          <w:sz w:val="24"/>
          <w:szCs w:val="24"/>
        </w:rPr>
        <w:t>高浓度</w:t>
      </w:r>
      <w:r>
        <w:rPr>
          <w:rFonts w:hint="eastAsia" w:ascii="Times New Roman" w:hAnsi="Times New Roman" w:eastAsia="仿宋" w:cs="Times New Roman"/>
          <w:sz w:val="24"/>
          <w:szCs w:val="24"/>
        </w:rPr>
        <w:t>情况下的可行性。评价原则要点：</w:t>
      </w:r>
    </w:p>
    <w:p w14:paraId="18BA9357">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a</w:t>
      </w:r>
      <w:r>
        <w:rPr>
          <w:rFonts w:ascii="Times New Roman" w:hAnsi="Times New Roman" w:eastAsia="仿宋" w:cs="Times New Roman"/>
          <w:sz w:val="24"/>
          <w:szCs w:val="24"/>
        </w:rPr>
        <w:t>.</w:t>
      </w:r>
      <w:r>
        <w:rPr>
          <w:rFonts w:hint="eastAsia" w:ascii="Times New Roman" w:hAnsi="Times New Roman" w:eastAsia="仿宋" w:cs="Times New Roman"/>
          <w:sz w:val="24"/>
          <w:szCs w:val="24"/>
        </w:rPr>
        <w:t>对于单个样品，若参比方法检测结果未超标的，新方法检测结果超标时，则认为新方法可行性较高。</w:t>
      </w:r>
    </w:p>
    <w:p w14:paraId="48B34114">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b</w:t>
      </w:r>
      <w:r>
        <w:rPr>
          <w:rFonts w:ascii="Times New Roman" w:hAnsi="Times New Roman" w:eastAsia="仿宋" w:cs="Times New Roman"/>
          <w:sz w:val="24"/>
          <w:szCs w:val="24"/>
        </w:rPr>
        <w:t>.</w:t>
      </w:r>
      <w:r>
        <w:rPr>
          <w:rFonts w:hint="eastAsia" w:ascii="Times New Roman" w:hAnsi="Times New Roman" w:eastAsia="仿宋" w:cs="Times New Roman"/>
          <w:sz w:val="24"/>
          <w:szCs w:val="24"/>
        </w:rPr>
        <w:t>对于整体样品，若新方法超标率大于参比方法，则认为新方法可行性较高。</w:t>
      </w:r>
    </w:p>
    <w:p w14:paraId="1FD47941">
      <w:pPr>
        <w:spacing w:line="240" w:lineRule="auto"/>
        <w:ind w:firstLine="480" w:firstLineChars="200"/>
        <w:rPr>
          <w:rFonts w:ascii="Times New Roman" w:hAnsi="Times New Roman" w:eastAsia="仿宋" w:cs="Times New Roman"/>
          <w:sz w:val="24"/>
          <w:szCs w:val="24"/>
        </w:rPr>
      </w:pPr>
      <w:r>
        <w:rPr>
          <w:rFonts w:ascii="Times New Roman" w:hAnsi="Times New Roman" w:eastAsia="仿宋" w:cs="Times New Roman"/>
          <w:sz w:val="24"/>
          <w:szCs w:val="24"/>
        </w:rPr>
        <w:t>c.</w:t>
      </w:r>
      <w:r>
        <w:rPr>
          <w:rFonts w:hint="eastAsia" w:ascii="Times New Roman" w:hAnsi="Times New Roman" w:eastAsia="仿宋" w:cs="Times New Roman"/>
          <w:sz w:val="24"/>
          <w:szCs w:val="24"/>
        </w:rPr>
        <w:t>对两种方法超标率进行统计检验，当</w:t>
      </w:r>
      <w:r>
        <w:rPr>
          <w:rFonts w:hint="eastAsia" w:cs="Times New Roman"/>
          <w:i/>
          <w:iCs/>
          <w:sz w:val="24"/>
          <w:szCs w:val="24"/>
          <w:lang w:val="en-US" w:eastAsia="zh-CN"/>
        </w:rPr>
        <w:t>P</w:t>
      </w:r>
      <w:r>
        <w:rPr>
          <w:rFonts w:ascii="Times New Roman" w:hAnsi="Times New Roman" w:eastAsia="仿宋" w:cs="Times New Roman"/>
          <w:sz w:val="24"/>
          <w:szCs w:val="24"/>
        </w:rPr>
        <w:t>&lt;0.05</w:t>
      </w:r>
      <w:r>
        <w:rPr>
          <w:rFonts w:hint="eastAsia" w:ascii="Times New Roman" w:hAnsi="Times New Roman" w:eastAsia="仿宋" w:cs="Times New Roman"/>
          <w:sz w:val="24"/>
          <w:szCs w:val="24"/>
        </w:rPr>
        <w:t>，说明两种方法超标率有差异。</w:t>
      </w:r>
    </w:p>
    <w:p w14:paraId="62BE3256">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夏季分析结果显示，参比方法超标率</w:t>
      </w:r>
      <w:r>
        <w:rPr>
          <w:rStyle w:val="32"/>
          <w:rFonts w:ascii="Times New Roman" w:hAnsi="Times New Roman" w:eastAsia="仿宋" w:cs="Times New Roman"/>
          <w:sz w:val="24"/>
          <w:szCs w:val="24"/>
        </w:rPr>
        <w:t>[</w:t>
      </w:r>
      <w:r>
        <w:rPr>
          <w:rStyle w:val="32"/>
          <w:rFonts w:ascii="Times New Roman" w:hAnsi="Times New Roman" w:eastAsia="仿宋" w:cs="Times New Roman"/>
          <w:sz w:val="24"/>
          <w:szCs w:val="24"/>
        </w:rPr>
        <w:footnoteReference w:id="8"/>
      </w:r>
      <w:r>
        <w:rPr>
          <w:rStyle w:val="32"/>
          <w:rFonts w:ascii="Times New Roman" w:hAnsi="Times New Roman" w:eastAsia="仿宋" w:cs="Times New Roman"/>
          <w:sz w:val="24"/>
          <w:szCs w:val="24"/>
        </w:rPr>
        <w:t>]</w:t>
      </w:r>
      <w:r>
        <w:rPr>
          <w:rFonts w:hint="eastAsia" w:ascii="Times New Roman" w:hAnsi="Times New Roman" w:eastAsia="仿宋" w:cs="Times New Roman"/>
          <w:sz w:val="24"/>
          <w:szCs w:val="24"/>
        </w:rPr>
        <w:t>为0%（0</w:t>
      </w:r>
      <w:r>
        <w:rPr>
          <w:rFonts w:ascii="Times New Roman" w:hAnsi="Times New Roman" w:eastAsia="仿宋" w:cs="Times New Roman"/>
          <w:sz w:val="24"/>
          <w:szCs w:val="24"/>
        </w:rPr>
        <w:t>/80</w:t>
      </w:r>
      <w:r>
        <w:rPr>
          <w:rFonts w:hint="eastAsia" w:ascii="Times New Roman" w:hAnsi="Times New Roman" w:eastAsia="仿宋" w:cs="Times New Roman"/>
          <w:sz w:val="24"/>
          <w:szCs w:val="24"/>
        </w:rPr>
        <w:t>），新方法超标率为</w:t>
      </w:r>
      <w:r>
        <w:rPr>
          <w:rFonts w:ascii="Times New Roman" w:hAnsi="Times New Roman" w:eastAsia="仿宋" w:cs="Times New Roman"/>
          <w:sz w:val="24"/>
          <w:szCs w:val="24"/>
        </w:rPr>
        <w:t>55</w:t>
      </w:r>
      <w:r>
        <w:rPr>
          <w:rFonts w:hint="eastAsia" w:ascii="Times New Roman" w:hAnsi="Times New Roman" w:eastAsia="仿宋" w:cs="Times New Roman"/>
          <w:sz w:val="24"/>
          <w:szCs w:val="24"/>
        </w:rPr>
        <w:t xml:space="preserve"> %（</w:t>
      </w:r>
      <w:r>
        <w:rPr>
          <w:rFonts w:ascii="Times New Roman" w:hAnsi="Times New Roman" w:eastAsia="仿宋" w:cs="Times New Roman"/>
          <w:sz w:val="24"/>
          <w:szCs w:val="24"/>
        </w:rPr>
        <w:t>44/80</w:t>
      </w:r>
      <w:r>
        <w:rPr>
          <w:rFonts w:hint="eastAsia" w:ascii="Times New Roman" w:hAnsi="Times New Roman" w:eastAsia="仿宋" w:cs="Times New Roman"/>
          <w:sz w:val="24"/>
          <w:szCs w:val="24"/>
        </w:rPr>
        <w:t>），新方法超标率大于参比方法。冬季分析结果显示，参比方法超标率为</w:t>
      </w:r>
      <w:r>
        <w:rPr>
          <w:rFonts w:ascii="Times New Roman" w:hAnsi="Times New Roman" w:eastAsia="仿宋" w:cs="Times New Roman"/>
          <w:sz w:val="24"/>
          <w:szCs w:val="24"/>
        </w:rPr>
        <w:t>0%（0/80），新方法超标率为</w:t>
      </w:r>
      <w:r>
        <w:rPr>
          <w:rFonts w:hint="eastAsia" w:ascii="Times New Roman" w:hAnsi="Times New Roman" w:eastAsia="仿宋" w:cs="Times New Roman"/>
          <w:sz w:val="24"/>
          <w:szCs w:val="24"/>
        </w:rPr>
        <w:t>6</w:t>
      </w:r>
      <w:r>
        <w:rPr>
          <w:rFonts w:ascii="Times New Roman" w:hAnsi="Times New Roman" w:eastAsia="仿宋" w:cs="Times New Roman"/>
          <w:sz w:val="24"/>
          <w:szCs w:val="24"/>
        </w:rPr>
        <w:t>.25%</w:t>
      </w:r>
      <w:r>
        <w:rPr>
          <w:rFonts w:hint="eastAsia" w:ascii="Times New Roman" w:hAnsi="Times New Roman" w:eastAsia="仿宋" w:cs="Times New Roman"/>
          <w:sz w:val="24"/>
          <w:szCs w:val="24"/>
        </w:rPr>
        <w:t>（5</w:t>
      </w:r>
      <w:r>
        <w:rPr>
          <w:rFonts w:ascii="Times New Roman" w:hAnsi="Times New Roman" w:eastAsia="仿宋" w:cs="Times New Roman"/>
          <w:sz w:val="24"/>
          <w:szCs w:val="24"/>
        </w:rPr>
        <w:t>/80</w:t>
      </w:r>
      <w:r>
        <w:rPr>
          <w:rFonts w:hint="eastAsia" w:ascii="Times New Roman" w:hAnsi="Times New Roman" w:eastAsia="仿宋" w:cs="Times New Roman"/>
          <w:sz w:val="24"/>
          <w:szCs w:val="24"/>
        </w:rPr>
        <w:t>），新方法超标率略大于参比方法。</w:t>
      </w:r>
    </w:p>
    <w:p w14:paraId="353C760D">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对夏、冬季结果分别进行卡方检验，结果显示夏季两种方法超标率有显著差异（</w:t>
      </w:r>
      <w:r>
        <w:rPr>
          <w:rFonts w:hint="eastAsia" w:cs="Times New Roman"/>
          <w:i/>
          <w:iCs/>
          <w:sz w:val="24"/>
          <w:szCs w:val="24"/>
          <w:lang w:val="en-US" w:eastAsia="zh-CN"/>
        </w:rPr>
        <w:t>P</w:t>
      </w:r>
      <w:r>
        <w:rPr>
          <w:rFonts w:ascii="Times New Roman" w:hAnsi="Times New Roman" w:eastAsia="仿宋" w:cs="Times New Roman"/>
          <w:sz w:val="24"/>
          <w:szCs w:val="24"/>
        </w:rPr>
        <w:t>&lt;0.001）</w:t>
      </w:r>
      <w:r>
        <w:rPr>
          <w:rFonts w:hint="eastAsia" w:ascii="Times New Roman" w:hAnsi="Times New Roman" w:eastAsia="仿宋" w:cs="Times New Roman"/>
          <w:sz w:val="24"/>
          <w:szCs w:val="24"/>
        </w:rPr>
        <w:t>，冬季两种方法超标率无显著差异（</w:t>
      </w:r>
      <w:r>
        <w:rPr>
          <w:rFonts w:hint="eastAsia" w:cs="Times New Roman"/>
          <w:i/>
          <w:iCs/>
          <w:sz w:val="24"/>
          <w:szCs w:val="24"/>
          <w:lang w:val="en-US" w:eastAsia="zh-CN"/>
        </w:rPr>
        <w:t>P</w:t>
      </w:r>
      <w:r>
        <w:rPr>
          <w:rFonts w:ascii="Times New Roman" w:hAnsi="Times New Roman" w:eastAsia="仿宋" w:cs="Times New Roman"/>
          <w:sz w:val="24"/>
          <w:szCs w:val="24"/>
        </w:rPr>
        <w:t>&gt;0.05</w:t>
      </w:r>
      <w:r>
        <w:rPr>
          <w:rFonts w:hint="eastAsia" w:ascii="Times New Roman" w:hAnsi="Times New Roman" w:eastAsia="仿宋" w:cs="Times New Roman"/>
          <w:sz w:val="24"/>
          <w:szCs w:val="24"/>
        </w:rPr>
        <w:t>）（表</w:t>
      </w:r>
      <w:r>
        <w:rPr>
          <w:rFonts w:ascii="Times New Roman" w:hAnsi="Times New Roman" w:eastAsia="仿宋" w:cs="Times New Roman"/>
          <w:sz w:val="24"/>
          <w:szCs w:val="24"/>
        </w:rPr>
        <w:t>2</w:t>
      </w:r>
      <w:r>
        <w:rPr>
          <w:rFonts w:hint="eastAsia" w:ascii="Times New Roman" w:hAnsi="Times New Roman" w:eastAsia="仿宋" w:cs="Times New Roman"/>
          <w:sz w:val="24"/>
          <w:szCs w:val="24"/>
        </w:rPr>
        <w:t>）。</w:t>
      </w:r>
    </w:p>
    <w:p w14:paraId="608699E0">
      <w:pPr>
        <w:spacing w:line="240" w:lineRule="auto"/>
        <w:jc w:val="center"/>
        <w:rPr>
          <w:rFonts w:ascii="Times New Roman" w:hAnsi="Times New Roman" w:eastAsia="仿宋" w:cs="Times New Roman"/>
          <w:sz w:val="24"/>
          <w:szCs w:val="24"/>
        </w:rPr>
      </w:pPr>
      <w:r>
        <w:rPr>
          <w:rFonts w:hint="eastAsia" w:ascii="Times New Roman" w:hAnsi="Times New Roman" w:eastAsia="仿宋" w:cs="Times New Roman"/>
          <w:sz w:val="24"/>
          <w:szCs w:val="24"/>
        </w:rPr>
        <w:t>表</w:t>
      </w:r>
      <w:r>
        <w:rPr>
          <w:rFonts w:ascii="Times New Roman" w:hAnsi="Times New Roman" w:eastAsia="仿宋" w:cs="Times New Roman"/>
          <w:sz w:val="24"/>
          <w:szCs w:val="24"/>
        </w:rPr>
        <w:t xml:space="preserve">2 </w:t>
      </w:r>
      <w:r>
        <w:rPr>
          <w:rFonts w:hint="eastAsia" w:ascii="Times New Roman" w:hAnsi="Times New Roman" w:eastAsia="仿宋" w:cs="Times New Roman"/>
          <w:sz w:val="24"/>
          <w:szCs w:val="24"/>
        </w:rPr>
        <w:t>两季两种方法超标率卡方检验</w:t>
      </w:r>
    </w:p>
    <w:tbl>
      <w:tblPr>
        <w:tblStyle w:val="26"/>
        <w:tblW w:w="5000" w:type="pct"/>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18"/>
        <w:gridCol w:w="1174"/>
        <w:gridCol w:w="1007"/>
        <w:gridCol w:w="1311"/>
        <w:gridCol w:w="1744"/>
        <w:gridCol w:w="1164"/>
        <w:gridCol w:w="1104"/>
      </w:tblGrid>
      <w:tr w14:paraId="755A353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97" w:type="pct"/>
            <w:tcBorders>
              <w:top w:val="single" w:color="auto" w:sz="4" w:space="0"/>
              <w:bottom w:val="single" w:color="auto" w:sz="4" w:space="0"/>
            </w:tcBorders>
            <w:vAlign w:val="center"/>
          </w:tcPr>
          <w:p w14:paraId="26CA088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季节</w:t>
            </w:r>
          </w:p>
        </w:tc>
        <w:tc>
          <w:tcPr>
            <w:tcW w:w="689" w:type="pct"/>
            <w:tcBorders>
              <w:top w:val="single" w:color="auto" w:sz="4" w:space="0"/>
              <w:bottom w:val="single" w:color="auto" w:sz="4" w:space="0"/>
            </w:tcBorders>
            <w:vAlign w:val="center"/>
          </w:tcPr>
          <w:p w14:paraId="2FB6384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方法</w:t>
            </w:r>
          </w:p>
        </w:tc>
        <w:tc>
          <w:tcPr>
            <w:tcW w:w="591" w:type="pct"/>
            <w:tcBorders>
              <w:top w:val="single" w:color="auto" w:sz="4" w:space="0"/>
              <w:bottom w:val="single" w:color="auto" w:sz="4" w:space="0"/>
            </w:tcBorders>
            <w:vAlign w:val="center"/>
          </w:tcPr>
          <w:p w14:paraId="7C9AB53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例数</w:t>
            </w:r>
          </w:p>
        </w:tc>
        <w:tc>
          <w:tcPr>
            <w:tcW w:w="769" w:type="pct"/>
            <w:tcBorders>
              <w:top w:val="single" w:color="auto" w:sz="4" w:space="0"/>
              <w:bottom w:val="single" w:color="auto" w:sz="4" w:space="0"/>
            </w:tcBorders>
            <w:vAlign w:val="center"/>
          </w:tcPr>
          <w:p w14:paraId="5626F79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超标例数</w:t>
            </w:r>
          </w:p>
        </w:tc>
        <w:tc>
          <w:tcPr>
            <w:tcW w:w="1023" w:type="pct"/>
            <w:tcBorders>
              <w:top w:val="single" w:color="auto" w:sz="4" w:space="0"/>
              <w:bottom w:val="single" w:color="auto" w:sz="4" w:space="0"/>
            </w:tcBorders>
            <w:vAlign w:val="center"/>
          </w:tcPr>
          <w:p w14:paraId="2FF62CF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未超标例数</w:t>
            </w:r>
          </w:p>
        </w:tc>
        <w:tc>
          <w:tcPr>
            <w:tcW w:w="683" w:type="pct"/>
            <w:tcBorders>
              <w:top w:val="single" w:color="auto" w:sz="4" w:space="0"/>
              <w:bottom w:val="single" w:color="auto" w:sz="4" w:space="0"/>
            </w:tcBorders>
            <w:vAlign w:val="center"/>
          </w:tcPr>
          <w:p w14:paraId="1227949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超标</w:t>
            </w:r>
            <w:r>
              <w:rPr>
                <w:rFonts w:hint="default" w:ascii="Times New Roman" w:hAnsi="Times New Roman" w:eastAsia="仿宋" w:cs="Times New Roman"/>
                <w:kern w:val="0"/>
                <w:sz w:val="22"/>
                <w:szCs w:val="20"/>
              </w:rPr>
              <w:t>率</w:t>
            </w:r>
          </w:p>
        </w:tc>
        <w:tc>
          <w:tcPr>
            <w:tcW w:w="648" w:type="pct"/>
            <w:tcBorders>
              <w:top w:val="single" w:color="auto" w:sz="4" w:space="0"/>
              <w:bottom w:val="single" w:color="auto" w:sz="4" w:space="0"/>
            </w:tcBorders>
            <w:vAlign w:val="center"/>
          </w:tcPr>
          <w:p w14:paraId="137B1ED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P值</w:t>
            </w:r>
          </w:p>
        </w:tc>
      </w:tr>
      <w:tr w14:paraId="25D6F76C">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97" w:type="pct"/>
            <w:vMerge w:val="restart"/>
            <w:tcBorders>
              <w:top w:val="single" w:color="auto" w:sz="4" w:space="0"/>
            </w:tcBorders>
            <w:vAlign w:val="center"/>
          </w:tcPr>
          <w:p w14:paraId="20B800B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夏季</w:t>
            </w:r>
          </w:p>
        </w:tc>
        <w:tc>
          <w:tcPr>
            <w:tcW w:w="689" w:type="pct"/>
            <w:tcBorders>
              <w:top w:val="single" w:color="auto" w:sz="4" w:space="0"/>
            </w:tcBorders>
            <w:vAlign w:val="center"/>
          </w:tcPr>
          <w:p w14:paraId="4DFFDA1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Andersen</w:t>
            </w:r>
            <w:r>
              <w:rPr>
                <w:rFonts w:hint="default" w:ascii="Times New Roman" w:hAnsi="Times New Roman" w:eastAsia="仿宋" w:cs="Times New Roman"/>
                <w:kern w:val="0"/>
                <w:sz w:val="22"/>
                <w:szCs w:val="20"/>
                <w:vertAlign w:val="superscript"/>
              </w:rPr>
              <w:t>*</w:t>
            </w:r>
          </w:p>
        </w:tc>
        <w:tc>
          <w:tcPr>
            <w:tcW w:w="591" w:type="pct"/>
            <w:tcBorders>
              <w:top w:val="single" w:color="auto" w:sz="4" w:space="0"/>
              <w:bottom w:val="nil"/>
            </w:tcBorders>
            <w:vAlign w:val="center"/>
          </w:tcPr>
          <w:p w14:paraId="6B5FC43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8</w:t>
            </w:r>
            <w:r>
              <w:rPr>
                <w:rFonts w:hint="default" w:ascii="Times New Roman" w:hAnsi="Times New Roman" w:eastAsia="仿宋" w:cs="Times New Roman"/>
                <w:kern w:val="0"/>
                <w:sz w:val="22"/>
                <w:szCs w:val="20"/>
              </w:rPr>
              <w:t>0</w:t>
            </w:r>
          </w:p>
        </w:tc>
        <w:tc>
          <w:tcPr>
            <w:tcW w:w="769" w:type="pct"/>
            <w:tcBorders>
              <w:top w:val="single" w:color="auto" w:sz="4" w:space="0"/>
              <w:bottom w:val="nil"/>
            </w:tcBorders>
            <w:vAlign w:val="center"/>
          </w:tcPr>
          <w:p w14:paraId="53F7032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0</w:t>
            </w:r>
          </w:p>
        </w:tc>
        <w:tc>
          <w:tcPr>
            <w:tcW w:w="1023" w:type="pct"/>
            <w:tcBorders>
              <w:top w:val="single" w:color="auto" w:sz="4" w:space="0"/>
              <w:bottom w:val="nil"/>
            </w:tcBorders>
            <w:vAlign w:val="center"/>
          </w:tcPr>
          <w:p w14:paraId="4640467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8</w:t>
            </w:r>
            <w:r>
              <w:rPr>
                <w:rFonts w:hint="default" w:ascii="Times New Roman" w:hAnsi="Times New Roman" w:eastAsia="仿宋" w:cs="Times New Roman"/>
                <w:kern w:val="0"/>
                <w:sz w:val="22"/>
                <w:szCs w:val="20"/>
              </w:rPr>
              <w:t>0</w:t>
            </w:r>
          </w:p>
        </w:tc>
        <w:tc>
          <w:tcPr>
            <w:tcW w:w="683" w:type="pct"/>
            <w:tcBorders>
              <w:top w:val="single" w:color="auto" w:sz="4" w:space="0"/>
            </w:tcBorders>
            <w:vAlign w:val="center"/>
          </w:tcPr>
          <w:p w14:paraId="2ADCC4B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0</w:t>
            </w:r>
          </w:p>
        </w:tc>
        <w:tc>
          <w:tcPr>
            <w:tcW w:w="648" w:type="pct"/>
            <w:vMerge w:val="restart"/>
            <w:tcBorders>
              <w:top w:val="single" w:color="auto" w:sz="4" w:space="0"/>
            </w:tcBorders>
            <w:vAlign w:val="center"/>
          </w:tcPr>
          <w:p w14:paraId="72724BE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&lt;</w:t>
            </w:r>
            <w:r>
              <w:rPr>
                <w:rFonts w:hint="default" w:ascii="Times New Roman" w:hAnsi="Times New Roman" w:eastAsia="仿宋" w:cs="Times New Roman"/>
                <w:kern w:val="0"/>
                <w:sz w:val="22"/>
                <w:szCs w:val="20"/>
              </w:rPr>
              <w:t>0.001</w:t>
            </w:r>
          </w:p>
        </w:tc>
      </w:tr>
      <w:tr w14:paraId="29A4412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97" w:type="pct"/>
            <w:vMerge w:val="continue"/>
            <w:tcBorders>
              <w:bottom w:val="single" w:color="auto" w:sz="4" w:space="0"/>
            </w:tcBorders>
            <w:vAlign w:val="center"/>
          </w:tcPr>
          <w:p w14:paraId="42DEB2B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p>
        </w:tc>
        <w:tc>
          <w:tcPr>
            <w:tcW w:w="689" w:type="pct"/>
            <w:vAlign w:val="center"/>
          </w:tcPr>
          <w:p w14:paraId="7479FC9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静电场</w:t>
            </w:r>
          </w:p>
        </w:tc>
        <w:tc>
          <w:tcPr>
            <w:tcW w:w="591" w:type="pct"/>
            <w:tcBorders>
              <w:top w:val="nil"/>
              <w:bottom w:val="single" w:color="auto" w:sz="4" w:space="0"/>
            </w:tcBorders>
            <w:vAlign w:val="center"/>
          </w:tcPr>
          <w:p w14:paraId="06DB902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8</w:t>
            </w:r>
            <w:r>
              <w:rPr>
                <w:rFonts w:hint="default" w:ascii="Times New Roman" w:hAnsi="Times New Roman" w:eastAsia="仿宋" w:cs="Times New Roman"/>
                <w:kern w:val="0"/>
                <w:sz w:val="22"/>
                <w:szCs w:val="20"/>
              </w:rPr>
              <w:t>0</w:t>
            </w:r>
          </w:p>
        </w:tc>
        <w:tc>
          <w:tcPr>
            <w:tcW w:w="769" w:type="pct"/>
            <w:tcBorders>
              <w:top w:val="nil"/>
              <w:bottom w:val="single" w:color="auto" w:sz="4" w:space="0"/>
            </w:tcBorders>
            <w:vAlign w:val="center"/>
          </w:tcPr>
          <w:p w14:paraId="3036390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4</w:t>
            </w:r>
            <w:r>
              <w:rPr>
                <w:rFonts w:hint="default" w:ascii="Times New Roman" w:hAnsi="Times New Roman" w:eastAsia="仿宋" w:cs="Times New Roman"/>
                <w:kern w:val="0"/>
                <w:sz w:val="22"/>
                <w:szCs w:val="20"/>
              </w:rPr>
              <w:t>4</w:t>
            </w:r>
          </w:p>
        </w:tc>
        <w:tc>
          <w:tcPr>
            <w:tcW w:w="1023" w:type="pct"/>
            <w:tcBorders>
              <w:top w:val="nil"/>
              <w:bottom w:val="single" w:color="auto" w:sz="4" w:space="0"/>
            </w:tcBorders>
            <w:vAlign w:val="center"/>
          </w:tcPr>
          <w:p w14:paraId="2B35B97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3</w:t>
            </w:r>
            <w:r>
              <w:rPr>
                <w:rFonts w:hint="default" w:ascii="Times New Roman" w:hAnsi="Times New Roman" w:eastAsia="仿宋" w:cs="Times New Roman"/>
                <w:kern w:val="0"/>
                <w:sz w:val="22"/>
                <w:szCs w:val="20"/>
              </w:rPr>
              <w:t>6</w:t>
            </w:r>
          </w:p>
        </w:tc>
        <w:tc>
          <w:tcPr>
            <w:tcW w:w="683" w:type="pct"/>
            <w:vAlign w:val="center"/>
          </w:tcPr>
          <w:p w14:paraId="4719363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5</w:t>
            </w:r>
            <w:r>
              <w:rPr>
                <w:rFonts w:hint="default" w:ascii="Times New Roman" w:hAnsi="Times New Roman" w:eastAsia="仿宋" w:cs="Times New Roman"/>
                <w:kern w:val="0"/>
                <w:sz w:val="22"/>
                <w:szCs w:val="20"/>
              </w:rPr>
              <w:t>5.00%</w:t>
            </w:r>
          </w:p>
        </w:tc>
        <w:tc>
          <w:tcPr>
            <w:tcW w:w="648" w:type="pct"/>
            <w:vMerge w:val="continue"/>
            <w:tcBorders>
              <w:bottom w:val="single" w:color="auto" w:sz="4" w:space="0"/>
            </w:tcBorders>
            <w:vAlign w:val="center"/>
          </w:tcPr>
          <w:p w14:paraId="2D40CA7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p>
        </w:tc>
      </w:tr>
      <w:tr w14:paraId="014BF777">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97" w:type="pct"/>
            <w:vMerge w:val="restart"/>
            <w:tcBorders>
              <w:top w:val="single" w:color="auto" w:sz="4" w:space="0"/>
            </w:tcBorders>
            <w:vAlign w:val="center"/>
          </w:tcPr>
          <w:p w14:paraId="1D651E3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冬季</w:t>
            </w:r>
          </w:p>
        </w:tc>
        <w:tc>
          <w:tcPr>
            <w:tcW w:w="689" w:type="pct"/>
            <w:tcBorders>
              <w:top w:val="single" w:color="auto" w:sz="4" w:space="0"/>
            </w:tcBorders>
            <w:vAlign w:val="center"/>
          </w:tcPr>
          <w:p w14:paraId="4B43CBD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Andersen</w:t>
            </w:r>
            <w:r>
              <w:rPr>
                <w:rFonts w:hint="default" w:ascii="Times New Roman" w:hAnsi="Times New Roman" w:eastAsia="仿宋" w:cs="Times New Roman"/>
                <w:kern w:val="0"/>
                <w:sz w:val="22"/>
                <w:szCs w:val="20"/>
                <w:vertAlign w:val="superscript"/>
              </w:rPr>
              <w:t>*</w:t>
            </w:r>
          </w:p>
        </w:tc>
        <w:tc>
          <w:tcPr>
            <w:tcW w:w="591" w:type="pct"/>
            <w:tcBorders>
              <w:top w:val="single" w:color="auto" w:sz="4" w:space="0"/>
            </w:tcBorders>
            <w:vAlign w:val="center"/>
          </w:tcPr>
          <w:p w14:paraId="02EEC32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80</w:t>
            </w:r>
          </w:p>
        </w:tc>
        <w:tc>
          <w:tcPr>
            <w:tcW w:w="769" w:type="pct"/>
            <w:tcBorders>
              <w:top w:val="single" w:color="auto" w:sz="4" w:space="0"/>
            </w:tcBorders>
            <w:vAlign w:val="center"/>
          </w:tcPr>
          <w:p w14:paraId="1CC0974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0</w:t>
            </w:r>
          </w:p>
        </w:tc>
        <w:tc>
          <w:tcPr>
            <w:tcW w:w="1023" w:type="pct"/>
            <w:tcBorders>
              <w:top w:val="single" w:color="auto" w:sz="4" w:space="0"/>
            </w:tcBorders>
            <w:vAlign w:val="center"/>
          </w:tcPr>
          <w:p w14:paraId="2378C49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8</w:t>
            </w:r>
            <w:r>
              <w:rPr>
                <w:rFonts w:hint="default" w:ascii="Times New Roman" w:hAnsi="Times New Roman" w:eastAsia="仿宋" w:cs="Times New Roman"/>
                <w:kern w:val="0"/>
                <w:sz w:val="22"/>
                <w:szCs w:val="20"/>
              </w:rPr>
              <w:t>0</w:t>
            </w:r>
          </w:p>
        </w:tc>
        <w:tc>
          <w:tcPr>
            <w:tcW w:w="683" w:type="pct"/>
            <w:tcBorders>
              <w:top w:val="single" w:color="auto" w:sz="4" w:space="0"/>
            </w:tcBorders>
            <w:vAlign w:val="center"/>
          </w:tcPr>
          <w:p w14:paraId="6B1B4D2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0</w:t>
            </w:r>
          </w:p>
        </w:tc>
        <w:tc>
          <w:tcPr>
            <w:tcW w:w="648" w:type="pct"/>
            <w:vMerge w:val="restart"/>
            <w:tcBorders>
              <w:top w:val="single" w:color="auto" w:sz="4" w:space="0"/>
            </w:tcBorders>
            <w:vAlign w:val="center"/>
          </w:tcPr>
          <w:p w14:paraId="116C42D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0</w:t>
            </w:r>
            <w:r>
              <w:rPr>
                <w:rFonts w:hint="default" w:ascii="Times New Roman" w:hAnsi="Times New Roman" w:eastAsia="仿宋" w:cs="Times New Roman"/>
                <w:kern w:val="0"/>
                <w:sz w:val="22"/>
                <w:szCs w:val="20"/>
              </w:rPr>
              <w:t>.069</w:t>
            </w:r>
          </w:p>
        </w:tc>
      </w:tr>
      <w:tr w14:paraId="50CB225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97" w:type="pct"/>
            <w:vMerge w:val="continue"/>
            <w:vAlign w:val="center"/>
          </w:tcPr>
          <w:p w14:paraId="5A6131C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p>
        </w:tc>
        <w:tc>
          <w:tcPr>
            <w:tcW w:w="689" w:type="pct"/>
            <w:vAlign w:val="center"/>
          </w:tcPr>
          <w:p w14:paraId="5DC0475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静电场</w:t>
            </w:r>
          </w:p>
        </w:tc>
        <w:tc>
          <w:tcPr>
            <w:tcW w:w="591" w:type="pct"/>
            <w:vAlign w:val="center"/>
          </w:tcPr>
          <w:p w14:paraId="347D869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80</w:t>
            </w:r>
          </w:p>
        </w:tc>
        <w:tc>
          <w:tcPr>
            <w:tcW w:w="769" w:type="pct"/>
            <w:vAlign w:val="center"/>
          </w:tcPr>
          <w:p w14:paraId="4EA0E1E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5</w:t>
            </w:r>
          </w:p>
        </w:tc>
        <w:tc>
          <w:tcPr>
            <w:tcW w:w="1023" w:type="pct"/>
            <w:vAlign w:val="center"/>
          </w:tcPr>
          <w:p w14:paraId="0D06A08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7</w:t>
            </w:r>
            <w:r>
              <w:rPr>
                <w:rFonts w:hint="default" w:ascii="Times New Roman" w:hAnsi="Times New Roman" w:eastAsia="仿宋" w:cs="Times New Roman"/>
                <w:kern w:val="0"/>
                <w:sz w:val="22"/>
                <w:szCs w:val="20"/>
              </w:rPr>
              <w:t>5</w:t>
            </w:r>
          </w:p>
        </w:tc>
        <w:tc>
          <w:tcPr>
            <w:tcW w:w="683" w:type="pct"/>
            <w:vAlign w:val="center"/>
          </w:tcPr>
          <w:p w14:paraId="524A07F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6</w:t>
            </w:r>
            <w:r>
              <w:rPr>
                <w:rFonts w:hint="default" w:ascii="Times New Roman" w:hAnsi="Times New Roman" w:eastAsia="仿宋" w:cs="Times New Roman"/>
                <w:kern w:val="0"/>
                <w:sz w:val="22"/>
                <w:szCs w:val="20"/>
              </w:rPr>
              <w:t>.25%</w:t>
            </w:r>
          </w:p>
        </w:tc>
        <w:tc>
          <w:tcPr>
            <w:tcW w:w="648" w:type="pct"/>
            <w:vMerge w:val="continue"/>
            <w:vAlign w:val="center"/>
          </w:tcPr>
          <w:p w14:paraId="7D20077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p>
        </w:tc>
      </w:tr>
    </w:tbl>
    <w:p w14:paraId="1BF05F5C">
      <w:pPr>
        <w:spacing w:line="240" w:lineRule="auto"/>
        <w:ind w:firstLine="480" w:firstLineChars="200"/>
        <w:jc w:val="left"/>
        <w:rPr>
          <w:rFonts w:ascii="Times New Roman" w:hAnsi="Times New Roman" w:eastAsia="仿宋" w:cs="Times New Roman"/>
          <w:sz w:val="24"/>
          <w:szCs w:val="24"/>
        </w:rPr>
      </w:pPr>
      <w:r>
        <w:rPr>
          <w:rFonts w:hint="eastAsia" w:ascii="Times New Roman" w:hAnsi="Times New Roman" w:eastAsia="仿宋" w:cs="Times New Roman"/>
          <w:sz w:val="24"/>
          <w:szCs w:val="24"/>
        </w:rPr>
        <w:t>注：</w:t>
      </w:r>
      <w:r>
        <w:rPr>
          <w:rFonts w:ascii="Times New Roman" w:hAnsi="Times New Roman" w:eastAsia="仿宋" w:cs="Times New Roman"/>
          <w:sz w:val="24"/>
          <w:szCs w:val="24"/>
          <w:vertAlign w:val="superscript"/>
        </w:rPr>
        <w:t>*</w:t>
      </w:r>
      <w:r>
        <w:rPr>
          <w:rFonts w:hint="eastAsia" w:ascii="Times New Roman" w:hAnsi="Times New Roman" w:eastAsia="仿宋" w:cs="Times New Roman"/>
          <w:sz w:val="24"/>
          <w:szCs w:val="24"/>
        </w:rPr>
        <w:t>参比方法。</w:t>
      </w:r>
    </w:p>
    <w:p w14:paraId="1E13C85B">
      <w:pPr>
        <w:spacing w:line="240" w:lineRule="auto"/>
        <w:ind w:firstLine="480" w:firstLineChars="200"/>
        <w:jc w:val="left"/>
        <w:rPr>
          <w:rFonts w:ascii="Times New Roman" w:hAnsi="Times New Roman" w:eastAsia="仿宋" w:cs="Times New Roman"/>
          <w:sz w:val="24"/>
          <w:szCs w:val="24"/>
        </w:rPr>
      </w:pPr>
      <w:r>
        <w:rPr>
          <w:rFonts w:hint="eastAsia" w:ascii="Times New Roman" w:hAnsi="Times New Roman" w:eastAsia="仿宋" w:cs="Times New Roman"/>
          <w:sz w:val="24"/>
          <w:szCs w:val="24"/>
        </w:rPr>
        <w:t>对新方法和参比方法的两季超标率分别进行卡方检验，结果显示新方法在夏冬两季超标率有显著差异（</w:t>
      </w:r>
      <w:r>
        <w:rPr>
          <w:rFonts w:hint="eastAsia" w:cs="Times New Roman"/>
          <w:i/>
          <w:iCs/>
          <w:sz w:val="24"/>
          <w:szCs w:val="24"/>
          <w:lang w:val="en-US" w:eastAsia="zh-CN"/>
        </w:rPr>
        <w:t>P</w:t>
      </w:r>
      <w:r>
        <w:rPr>
          <w:rFonts w:ascii="Times New Roman" w:hAnsi="Times New Roman" w:eastAsia="仿宋" w:cs="Times New Roman"/>
          <w:sz w:val="24"/>
          <w:szCs w:val="24"/>
        </w:rPr>
        <w:t>&lt;0.001），</w:t>
      </w:r>
      <w:r>
        <w:rPr>
          <w:rFonts w:hint="eastAsia" w:ascii="Times New Roman" w:hAnsi="Times New Roman" w:eastAsia="仿宋" w:cs="Times New Roman"/>
          <w:sz w:val="24"/>
          <w:szCs w:val="24"/>
        </w:rPr>
        <w:t>参比方法在夏冬两季超标率无显著差异（</w:t>
      </w:r>
      <w:r>
        <w:rPr>
          <w:rFonts w:hint="eastAsia" w:cs="Times New Roman"/>
          <w:i/>
          <w:iCs/>
          <w:sz w:val="24"/>
          <w:szCs w:val="24"/>
          <w:lang w:val="en-US" w:eastAsia="zh-CN"/>
        </w:rPr>
        <w:t>P</w:t>
      </w:r>
      <w:r>
        <w:rPr>
          <w:rFonts w:ascii="Times New Roman" w:hAnsi="Times New Roman" w:eastAsia="仿宋" w:cs="Times New Roman"/>
          <w:sz w:val="24"/>
          <w:szCs w:val="24"/>
        </w:rPr>
        <w:t>&gt;0.05）</w:t>
      </w:r>
      <w:r>
        <w:rPr>
          <w:rFonts w:hint="eastAsia" w:ascii="Times New Roman" w:hAnsi="Times New Roman" w:eastAsia="仿宋" w:cs="Times New Roman"/>
          <w:sz w:val="24"/>
          <w:szCs w:val="24"/>
        </w:rPr>
        <w:t>（表3）。</w:t>
      </w:r>
    </w:p>
    <w:p w14:paraId="3FABEC8A">
      <w:pPr>
        <w:spacing w:line="240" w:lineRule="auto"/>
        <w:ind w:firstLine="480" w:firstLineChars="200"/>
        <w:jc w:val="center"/>
        <w:rPr>
          <w:rFonts w:ascii="Times New Roman" w:hAnsi="Times New Roman" w:eastAsia="仿宋" w:cs="Times New Roman"/>
          <w:sz w:val="24"/>
          <w:szCs w:val="24"/>
        </w:rPr>
      </w:pPr>
      <w:r>
        <w:rPr>
          <w:rFonts w:hint="eastAsia" w:ascii="Times New Roman" w:hAnsi="Times New Roman" w:eastAsia="仿宋" w:cs="Times New Roman"/>
          <w:sz w:val="24"/>
          <w:szCs w:val="24"/>
        </w:rPr>
        <w:t>表3</w:t>
      </w:r>
      <w:r>
        <w:rPr>
          <w:rFonts w:ascii="Times New Roman" w:hAnsi="Times New Roman" w:eastAsia="仿宋" w:cs="Times New Roman"/>
          <w:sz w:val="24"/>
          <w:szCs w:val="24"/>
        </w:rPr>
        <w:t xml:space="preserve"> </w:t>
      </w:r>
      <w:r>
        <w:rPr>
          <w:rFonts w:hint="eastAsia" w:ascii="Times New Roman" w:hAnsi="Times New Roman" w:eastAsia="仿宋" w:cs="Times New Roman"/>
          <w:sz w:val="24"/>
          <w:szCs w:val="24"/>
        </w:rPr>
        <w:t>两种方法两季超标率卡方检验</w:t>
      </w:r>
    </w:p>
    <w:tbl>
      <w:tblPr>
        <w:tblStyle w:val="26"/>
        <w:tblW w:w="0" w:type="auto"/>
        <w:jc w:val="center"/>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1131"/>
        <w:gridCol w:w="1578"/>
        <w:gridCol w:w="1273"/>
        <w:gridCol w:w="1836"/>
        <w:gridCol w:w="1629"/>
      </w:tblGrid>
      <w:tr w14:paraId="309445D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454" w:hRule="atLeast"/>
          <w:jc w:val="center"/>
        </w:trPr>
        <w:tc>
          <w:tcPr>
            <w:tcW w:w="1060" w:type="dxa"/>
            <w:vAlign w:val="center"/>
          </w:tcPr>
          <w:p w14:paraId="419E3AD5">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方法</w:t>
            </w:r>
          </w:p>
        </w:tc>
        <w:tc>
          <w:tcPr>
            <w:tcW w:w="1578" w:type="dxa"/>
            <w:vAlign w:val="center"/>
          </w:tcPr>
          <w:p w14:paraId="6E43C8E7">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例数</w:t>
            </w:r>
          </w:p>
        </w:tc>
        <w:tc>
          <w:tcPr>
            <w:tcW w:w="1273" w:type="dxa"/>
            <w:vAlign w:val="center"/>
          </w:tcPr>
          <w:p w14:paraId="397F49B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夏季</w:t>
            </w:r>
          </w:p>
        </w:tc>
        <w:tc>
          <w:tcPr>
            <w:tcW w:w="1836" w:type="dxa"/>
            <w:vAlign w:val="center"/>
          </w:tcPr>
          <w:p w14:paraId="633BDEC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冬季</w:t>
            </w:r>
          </w:p>
        </w:tc>
        <w:tc>
          <w:tcPr>
            <w:tcW w:w="1629" w:type="dxa"/>
            <w:vAlign w:val="center"/>
          </w:tcPr>
          <w:p w14:paraId="0ADF38D7">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i/>
                <w:iCs/>
                <w:kern w:val="0"/>
                <w:sz w:val="22"/>
                <w:szCs w:val="22"/>
              </w:rPr>
              <w:t>P</w:t>
            </w:r>
            <w:r>
              <w:rPr>
                <w:rFonts w:hint="eastAsia" w:ascii="Times New Roman" w:hAnsi="Times New Roman" w:eastAsia="仿宋" w:cs="Times New Roman"/>
                <w:kern w:val="0"/>
                <w:sz w:val="22"/>
                <w:szCs w:val="22"/>
              </w:rPr>
              <w:t>值</w:t>
            </w:r>
          </w:p>
        </w:tc>
      </w:tr>
      <w:tr w14:paraId="260E366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454" w:hRule="atLeast"/>
          <w:jc w:val="center"/>
        </w:trPr>
        <w:tc>
          <w:tcPr>
            <w:tcW w:w="1060" w:type="dxa"/>
            <w:vMerge w:val="restart"/>
            <w:vAlign w:val="center"/>
          </w:tcPr>
          <w:p w14:paraId="4347B8EC">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静电场</w:t>
            </w:r>
          </w:p>
        </w:tc>
        <w:tc>
          <w:tcPr>
            <w:tcW w:w="1578" w:type="dxa"/>
            <w:tcBorders>
              <w:bottom w:val="nil"/>
            </w:tcBorders>
            <w:vAlign w:val="center"/>
          </w:tcPr>
          <w:p w14:paraId="318E0695">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超标</w:t>
            </w:r>
          </w:p>
        </w:tc>
        <w:tc>
          <w:tcPr>
            <w:tcW w:w="1273" w:type="dxa"/>
            <w:tcBorders>
              <w:bottom w:val="nil"/>
            </w:tcBorders>
            <w:vAlign w:val="center"/>
          </w:tcPr>
          <w:p w14:paraId="309F5B98">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4</w:t>
            </w:r>
            <w:r>
              <w:rPr>
                <w:rFonts w:hint="default" w:ascii="Times New Roman" w:hAnsi="Times New Roman" w:eastAsia="仿宋" w:cs="Times New Roman"/>
                <w:kern w:val="0"/>
                <w:sz w:val="22"/>
                <w:szCs w:val="22"/>
              </w:rPr>
              <w:t>4</w:t>
            </w:r>
          </w:p>
        </w:tc>
        <w:tc>
          <w:tcPr>
            <w:tcW w:w="1836" w:type="dxa"/>
            <w:tcBorders>
              <w:bottom w:val="nil"/>
            </w:tcBorders>
            <w:vAlign w:val="center"/>
          </w:tcPr>
          <w:p w14:paraId="6C89AB69">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5</w:t>
            </w:r>
          </w:p>
        </w:tc>
        <w:tc>
          <w:tcPr>
            <w:tcW w:w="1629" w:type="dxa"/>
            <w:vMerge w:val="restart"/>
            <w:vAlign w:val="center"/>
          </w:tcPr>
          <w:p w14:paraId="7881C92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&lt;</w:t>
            </w:r>
            <w:r>
              <w:rPr>
                <w:rFonts w:hint="default" w:ascii="Times New Roman" w:hAnsi="Times New Roman" w:eastAsia="仿宋" w:cs="Times New Roman"/>
                <w:kern w:val="0"/>
                <w:sz w:val="22"/>
                <w:szCs w:val="22"/>
              </w:rPr>
              <w:t>0.001</w:t>
            </w:r>
          </w:p>
        </w:tc>
      </w:tr>
      <w:tr w14:paraId="33932B3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454" w:hRule="atLeast"/>
          <w:jc w:val="center"/>
        </w:trPr>
        <w:tc>
          <w:tcPr>
            <w:tcW w:w="1060" w:type="dxa"/>
            <w:vMerge w:val="continue"/>
            <w:tcBorders>
              <w:bottom w:val="single" w:color="auto" w:sz="4" w:space="0"/>
            </w:tcBorders>
            <w:vAlign w:val="center"/>
          </w:tcPr>
          <w:p w14:paraId="0A4AF766">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p>
        </w:tc>
        <w:tc>
          <w:tcPr>
            <w:tcW w:w="1578" w:type="dxa"/>
            <w:tcBorders>
              <w:top w:val="nil"/>
              <w:bottom w:val="single" w:color="auto" w:sz="4" w:space="0"/>
            </w:tcBorders>
            <w:vAlign w:val="center"/>
          </w:tcPr>
          <w:p w14:paraId="7901CAEF">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未超标</w:t>
            </w:r>
          </w:p>
        </w:tc>
        <w:tc>
          <w:tcPr>
            <w:tcW w:w="1273" w:type="dxa"/>
            <w:tcBorders>
              <w:top w:val="nil"/>
              <w:bottom w:val="single" w:color="auto" w:sz="4" w:space="0"/>
            </w:tcBorders>
            <w:vAlign w:val="center"/>
          </w:tcPr>
          <w:p w14:paraId="54D32C95">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3</w:t>
            </w:r>
            <w:r>
              <w:rPr>
                <w:rFonts w:hint="default" w:ascii="Times New Roman" w:hAnsi="Times New Roman" w:eastAsia="仿宋" w:cs="Times New Roman"/>
                <w:kern w:val="0"/>
                <w:sz w:val="22"/>
                <w:szCs w:val="22"/>
              </w:rPr>
              <w:t>6</w:t>
            </w:r>
          </w:p>
        </w:tc>
        <w:tc>
          <w:tcPr>
            <w:tcW w:w="1836" w:type="dxa"/>
            <w:tcBorders>
              <w:top w:val="nil"/>
              <w:bottom w:val="single" w:color="auto" w:sz="4" w:space="0"/>
            </w:tcBorders>
            <w:vAlign w:val="center"/>
          </w:tcPr>
          <w:p w14:paraId="44623069">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7</w:t>
            </w:r>
            <w:r>
              <w:rPr>
                <w:rFonts w:hint="default" w:ascii="Times New Roman" w:hAnsi="Times New Roman" w:eastAsia="仿宋" w:cs="Times New Roman"/>
                <w:kern w:val="0"/>
                <w:sz w:val="22"/>
                <w:szCs w:val="22"/>
              </w:rPr>
              <w:t>5</w:t>
            </w:r>
          </w:p>
        </w:tc>
        <w:tc>
          <w:tcPr>
            <w:tcW w:w="1629" w:type="dxa"/>
            <w:vMerge w:val="continue"/>
            <w:tcBorders>
              <w:bottom w:val="single" w:color="auto" w:sz="4" w:space="0"/>
            </w:tcBorders>
            <w:vAlign w:val="center"/>
          </w:tcPr>
          <w:p w14:paraId="05E815A6">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p>
        </w:tc>
      </w:tr>
      <w:tr w14:paraId="119D9C02">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454" w:hRule="atLeast"/>
          <w:jc w:val="center"/>
        </w:trPr>
        <w:tc>
          <w:tcPr>
            <w:tcW w:w="1060" w:type="dxa"/>
            <w:vMerge w:val="restart"/>
            <w:vAlign w:val="center"/>
          </w:tcPr>
          <w:p w14:paraId="2FECBEE2">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default" w:ascii="Times New Roman" w:hAnsi="Times New Roman" w:eastAsia="仿宋" w:cs="Times New Roman"/>
                <w:kern w:val="0"/>
                <w:sz w:val="22"/>
                <w:szCs w:val="22"/>
              </w:rPr>
              <w:t>Andersen</w:t>
            </w:r>
            <w:r>
              <w:rPr>
                <w:rFonts w:hint="default" w:ascii="Times New Roman" w:hAnsi="Times New Roman" w:eastAsia="仿宋" w:cs="Times New Roman"/>
                <w:kern w:val="0"/>
                <w:sz w:val="22"/>
                <w:szCs w:val="22"/>
                <w:vertAlign w:val="superscript"/>
              </w:rPr>
              <w:t>*</w:t>
            </w:r>
          </w:p>
        </w:tc>
        <w:tc>
          <w:tcPr>
            <w:tcW w:w="1578" w:type="dxa"/>
            <w:tcBorders>
              <w:top w:val="single" w:color="auto" w:sz="4" w:space="0"/>
              <w:bottom w:val="nil"/>
            </w:tcBorders>
            <w:vAlign w:val="center"/>
          </w:tcPr>
          <w:p w14:paraId="2863B3E7">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超标</w:t>
            </w:r>
          </w:p>
        </w:tc>
        <w:tc>
          <w:tcPr>
            <w:tcW w:w="1273" w:type="dxa"/>
            <w:tcBorders>
              <w:top w:val="single" w:color="auto" w:sz="4" w:space="0"/>
              <w:bottom w:val="nil"/>
            </w:tcBorders>
            <w:vAlign w:val="center"/>
          </w:tcPr>
          <w:p w14:paraId="13F9698E">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0</w:t>
            </w:r>
          </w:p>
        </w:tc>
        <w:tc>
          <w:tcPr>
            <w:tcW w:w="1836" w:type="dxa"/>
            <w:tcBorders>
              <w:top w:val="single" w:color="auto" w:sz="4" w:space="0"/>
              <w:bottom w:val="nil"/>
            </w:tcBorders>
            <w:vAlign w:val="center"/>
          </w:tcPr>
          <w:p w14:paraId="62532EBF">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0</w:t>
            </w:r>
          </w:p>
        </w:tc>
        <w:tc>
          <w:tcPr>
            <w:tcW w:w="1629" w:type="dxa"/>
            <w:vMerge w:val="restart"/>
            <w:vAlign w:val="center"/>
          </w:tcPr>
          <w:p w14:paraId="2C353E23">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&gt;</w:t>
            </w:r>
            <w:r>
              <w:rPr>
                <w:rFonts w:hint="default" w:ascii="Times New Roman" w:hAnsi="Times New Roman" w:eastAsia="仿宋" w:cs="Times New Roman"/>
                <w:kern w:val="0"/>
                <w:sz w:val="22"/>
                <w:szCs w:val="22"/>
              </w:rPr>
              <w:t>0.05</w:t>
            </w:r>
          </w:p>
        </w:tc>
      </w:tr>
      <w:tr w14:paraId="009C32C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454" w:hRule="atLeast"/>
          <w:jc w:val="center"/>
        </w:trPr>
        <w:tc>
          <w:tcPr>
            <w:tcW w:w="1060" w:type="dxa"/>
            <w:vMerge w:val="continue"/>
            <w:vAlign w:val="center"/>
          </w:tcPr>
          <w:p w14:paraId="6676C3A7">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p>
        </w:tc>
        <w:tc>
          <w:tcPr>
            <w:tcW w:w="1578" w:type="dxa"/>
            <w:tcBorders>
              <w:top w:val="nil"/>
            </w:tcBorders>
            <w:vAlign w:val="center"/>
          </w:tcPr>
          <w:p w14:paraId="753CD015">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未超标</w:t>
            </w:r>
          </w:p>
        </w:tc>
        <w:tc>
          <w:tcPr>
            <w:tcW w:w="1273" w:type="dxa"/>
            <w:tcBorders>
              <w:top w:val="nil"/>
            </w:tcBorders>
            <w:vAlign w:val="center"/>
          </w:tcPr>
          <w:p w14:paraId="39079D7B">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8</w:t>
            </w:r>
            <w:r>
              <w:rPr>
                <w:rFonts w:hint="default" w:ascii="Times New Roman" w:hAnsi="Times New Roman" w:eastAsia="仿宋" w:cs="Times New Roman"/>
                <w:kern w:val="0"/>
                <w:sz w:val="22"/>
                <w:szCs w:val="22"/>
              </w:rPr>
              <w:t>0</w:t>
            </w:r>
          </w:p>
        </w:tc>
        <w:tc>
          <w:tcPr>
            <w:tcW w:w="1836" w:type="dxa"/>
            <w:tcBorders>
              <w:top w:val="nil"/>
            </w:tcBorders>
            <w:vAlign w:val="center"/>
          </w:tcPr>
          <w:p w14:paraId="7431483B">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r>
              <w:rPr>
                <w:rFonts w:hint="eastAsia" w:ascii="Times New Roman" w:hAnsi="Times New Roman" w:eastAsia="仿宋" w:cs="Times New Roman"/>
                <w:kern w:val="0"/>
                <w:sz w:val="22"/>
                <w:szCs w:val="22"/>
              </w:rPr>
              <w:t>8</w:t>
            </w:r>
            <w:r>
              <w:rPr>
                <w:rFonts w:hint="default" w:ascii="Times New Roman" w:hAnsi="Times New Roman" w:eastAsia="仿宋" w:cs="Times New Roman"/>
                <w:kern w:val="0"/>
                <w:sz w:val="22"/>
                <w:szCs w:val="22"/>
              </w:rPr>
              <w:t>0</w:t>
            </w:r>
          </w:p>
        </w:tc>
        <w:tc>
          <w:tcPr>
            <w:tcW w:w="1629" w:type="dxa"/>
            <w:vMerge w:val="continue"/>
            <w:vAlign w:val="center"/>
          </w:tcPr>
          <w:p w14:paraId="21ACE364">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2"/>
              </w:rPr>
            </w:pPr>
          </w:p>
        </w:tc>
      </w:tr>
    </w:tbl>
    <w:p w14:paraId="0E93302D">
      <w:pPr>
        <w:spacing w:line="240" w:lineRule="auto"/>
        <w:ind w:firstLine="480" w:firstLineChars="200"/>
        <w:jc w:val="left"/>
        <w:rPr>
          <w:rFonts w:ascii="Times New Roman" w:hAnsi="Times New Roman" w:eastAsia="仿宋" w:cs="Times New Roman"/>
          <w:sz w:val="24"/>
          <w:szCs w:val="24"/>
        </w:rPr>
      </w:pPr>
      <w:r>
        <w:rPr>
          <w:rFonts w:hint="eastAsia" w:ascii="Times New Roman" w:hAnsi="Times New Roman" w:eastAsia="仿宋" w:cs="Times New Roman"/>
          <w:sz w:val="24"/>
          <w:szCs w:val="24"/>
        </w:rPr>
        <w:t>注：</w:t>
      </w:r>
      <w:r>
        <w:rPr>
          <w:rFonts w:ascii="Times New Roman" w:hAnsi="Times New Roman" w:eastAsia="仿宋" w:cs="Times New Roman"/>
          <w:sz w:val="24"/>
          <w:szCs w:val="24"/>
        </w:rPr>
        <w:t>*参比方法。</w:t>
      </w:r>
    </w:p>
    <w:p w14:paraId="763924C0">
      <w:pPr>
        <w:pStyle w:val="4"/>
        <w:spacing w:line="240" w:lineRule="auto"/>
        <w:ind w:firstLine="482"/>
        <w:rPr>
          <w:rFonts w:cs="Times New Roman"/>
        </w:rPr>
      </w:pPr>
      <w:bookmarkStart w:id="207" w:name="_Toc188029659"/>
      <w:bookmarkStart w:id="208" w:name="_Toc29900"/>
      <w:bookmarkStart w:id="209" w:name="_Toc6032"/>
      <w:r>
        <w:rPr>
          <w:rFonts w:cs="Times New Roman"/>
        </w:rPr>
        <w:t>3）过程性指标评价</w:t>
      </w:r>
      <w:bookmarkEnd w:id="207"/>
      <w:bookmarkEnd w:id="208"/>
      <w:bookmarkEnd w:id="209"/>
    </w:p>
    <w:p w14:paraId="0943DBAE">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使用采样时间、设备价格、耗材消耗等过程性指标评价新方法可行性。在相同采样时间下，新方法采集浓度更高，采集微生物群落个数更多；设备价格方面，新方法设备低于参比方法；耗材消耗方面，参比方法需要使用6块平皿，新方法需要使用2块平皿，参比方法可行性没有明显优势。综上所述，过程性指标评价新方法具有可行性优势。</w:t>
      </w:r>
    </w:p>
    <w:p w14:paraId="0B4F547E">
      <w:pPr>
        <w:pStyle w:val="3"/>
        <w:spacing w:line="240" w:lineRule="auto"/>
        <w:rPr>
          <w:rFonts w:eastAsia="仿宋" w:cs="Times New Roman"/>
          <w:szCs w:val="24"/>
        </w:rPr>
      </w:pPr>
      <w:bookmarkStart w:id="210" w:name="_Toc19322"/>
      <w:bookmarkStart w:id="211" w:name="_Toc31094"/>
      <w:bookmarkStart w:id="212" w:name="_Toc188029660"/>
      <w:r>
        <w:rPr>
          <w:rFonts w:eastAsia="仿宋" w:cs="Times New Roman"/>
          <w:szCs w:val="24"/>
        </w:rPr>
        <w:t>（2）准确性分析</w:t>
      </w:r>
      <w:bookmarkEnd w:id="210"/>
      <w:bookmarkEnd w:id="211"/>
      <w:bookmarkEnd w:id="212"/>
    </w:p>
    <w:p w14:paraId="7D6914AD">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以参比方法（</w:t>
      </w:r>
      <w:r>
        <w:rPr>
          <w:rFonts w:hint="eastAsia" w:ascii="Times New Roman" w:hAnsi="Times New Roman" w:eastAsia="仿宋" w:cs="Times New Roman"/>
          <w:bCs/>
          <w:sz w:val="24"/>
          <w:szCs w:val="24"/>
        </w:rPr>
        <w:t>A</w:t>
      </w:r>
      <w:r>
        <w:rPr>
          <w:rFonts w:ascii="Times New Roman" w:hAnsi="Times New Roman" w:eastAsia="仿宋" w:cs="Times New Roman"/>
          <w:bCs/>
          <w:sz w:val="24"/>
          <w:szCs w:val="24"/>
        </w:rPr>
        <w:t>ndersen</w:t>
      </w:r>
      <w:r>
        <w:rPr>
          <w:rFonts w:hint="eastAsia" w:ascii="Times New Roman" w:hAnsi="Times New Roman" w:eastAsia="仿宋" w:cs="Times New Roman"/>
          <w:sz w:val="24"/>
          <w:szCs w:val="24"/>
        </w:rPr>
        <w:t>）</w:t>
      </w:r>
      <w:r>
        <w:rPr>
          <w:rFonts w:hint="eastAsia" w:ascii="Times New Roman" w:hAnsi="Times New Roman" w:eastAsia="仿宋" w:cs="Times New Roman"/>
          <w:bCs/>
          <w:sz w:val="24"/>
          <w:szCs w:val="24"/>
        </w:rPr>
        <w:t>和补充参比方法（沉降法）结果作为对照，评价静电场结果的准确性。</w:t>
      </w:r>
      <w:r>
        <w:rPr>
          <w:rFonts w:hint="eastAsia" w:ascii="Times New Roman" w:hAnsi="Times New Roman" w:eastAsia="仿宋" w:cs="Times New Roman"/>
          <w:sz w:val="24"/>
          <w:szCs w:val="24"/>
        </w:rPr>
        <w:t>评价原则要点：</w:t>
      </w:r>
    </w:p>
    <w:p w14:paraId="434B25D0">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a</w:t>
      </w:r>
      <w:r>
        <w:rPr>
          <w:rFonts w:ascii="Times New Roman" w:hAnsi="Times New Roman" w:eastAsia="仿宋" w:cs="Times New Roman"/>
          <w:sz w:val="24"/>
          <w:szCs w:val="24"/>
        </w:rPr>
        <w:t>.</w:t>
      </w:r>
      <w:r>
        <w:rPr>
          <w:rFonts w:hint="eastAsia" w:ascii="Times New Roman" w:hAnsi="Times New Roman" w:eastAsia="仿宋" w:cs="Times New Roman"/>
          <w:sz w:val="24"/>
          <w:szCs w:val="24"/>
        </w:rPr>
        <w:t>基于不同采样方法单次检测结果的绝对含量，以参比方法</w:t>
      </w:r>
      <w:r>
        <w:rPr>
          <w:rFonts w:ascii="Times New Roman" w:hAnsi="Times New Roman" w:eastAsia="仿宋" w:cs="Times New Roman"/>
          <w:sz w:val="24"/>
          <w:szCs w:val="24"/>
        </w:rPr>
        <w:t>结果为对照，</w:t>
      </w:r>
      <w:r>
        <w:rPr>
          <w:rFonts w:hint="eastAsia" w:ascii="Times New Roman" w:hAnsi="Times New Roman" w:eastAsia="仿宋" w:cs="Times New Roman"/>
          <w:sz w:val="24"/>
          <w:szCs w:val="24"/>
        </w:rPr>
        <w:t>比较新方法单次结果的偏倚方向及偏倚程度。偏倚程度越小，认为新方法相对参比方法的准确性越高。</w:t>
      </w:r>
    </w:p>
    <w:p w14:paraId="34F664DF">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b</w:t>
      </w:r>
      <w:r>
        <w:rPr>
          <w:rFonts w:ascii="Times New Roman" w:hAnsi="Times New Roman" w:eastAsia="仿宋" w:cs="Times New Roman"/>
          <w:sz w:val="24"/>
          <w:szCs w:val="24"/>
        </w:rPr>
        <w:t>.</w:t>
      </w:r>
      <w:r>
        <w:rPr>
          <w:rFonts w:hint="eastAsia"/>
        </w:rPr>
        <w:t xml:space="preserve"> </w:t>
      </w:r>
      <w:r>
        <w:rPr>
          <w:rFonts w:hint="eastAsia" w:ascii="Times New Roman" w:hAnsi="Times New Roman" w:eastAsia="仿宋" w:cs="Times New Roman"/>
          <w:sz w:val="24"/>
          <w:szCs w:val="24"/>
        </w:rPr>
        <w:t>基于不同采样方法分层及整体检测结果绝对含量，以参比方法</w:t>
      </w:r>
      <w:r>
        <w:rPr>
          <w:rFonts w:ascii="Times New Roman" w:hAnsi="Times New Roman" w:eastAsia="仿宋" w:cs="Times New Roman"/>
          <w:sz w:val="24"/>
          <w:szCs w:val="24"/>
        </w:rPr>
        <w:t>结果为对照，</w:t>
      </w:r>
      <w:r>
        <w:rPr>
          <w:rFonts w:hint="eastAsia" w:ascii="Times New Roman" w:hAnsi="Times New Roman" w:eastAsia="仿宋" w:cs="Times New Roman"/>
          <w:sz w:val="24"/>
          <w:szCs w:val="24"/>
        </w:rPr>
        <w:t>比较新方法分层及整体结果的偏倚方向及偏倚程度。偏倚程度越小，认为新方法相对参比方法的准确性越高。</w:t>
      </w:r>
    </w:p>
    <w:p w14:paraId="6B887D5A">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c</w:t>
      </w:r>
      <w:r>
        <w:rPr>
          <w:rFonts w:ascii="Times New Roman" w:hAnsi="Times New Roman" w:eastAsia="仿宋" w:cs="Times New Roman"/>
          <w:sz w:val="24"/>
          <w:szCs w:val="24"/>
        </w:rPr>
        <w:t>.</w:t>
      </w:r>
      <w:r>
        <w:rPr>
          <w:rFonts w:hint="eastAsia" w:ascii="Times New Roman" w:hAnsi="Times New Roman" w:eastAsia="仿宋" w:cs="Times New Roman"/>
          <w:sz w:val="24"/>
          <w:szCs w:val="24"/>
        </w:rPr>
        <w:t>对参比方法和新方法单次检测结果绝对含量进行统计检验，当</w:t>
      </w:r>
      <w:r>
        <w:rPr>
          <w:rFonts w:hint="eastAsia" w:cs="Times New Roman"/>
          <w:i/>
          <w:iCs/>
          <w:sz w:val="24"/>
          <w:szCs w:val="24"/>
          <w:lang w:val="en-US" w:eastAsia="zh-CN"/>
        </w:rPr>
        <w:t>P</w:t>
      </w:r>
      <w:r>
        <w:rPr>
          <w:rFonts w:ascii="Times New Roman" w:hAnsi="Times New Roman" w:eastAsia="仿宋" w:cs="Times New Roman"/>
          <w:sz w:val="24"/>
          <w:szCs w:val="24"/>
        </w:rPr>
        <w:t>&lt;0.05</w:t>
      </w:r>
      <w:r>
        <w:rPr>
          <w:rFonts w:hint="eastAsia" w:ascii="Times New Roman" w:hAnsi="Times New Roman" w:eastAsia="仿宋" w:cs="Times New Roman"/>
          <w:sz w:val="24"/>
          <w:szCs w:val="24"/>
        </w:rPr>
        <w:t>，说明两种方法检测结果有差异。</w:t>
      </w:r>
    </w:p>
    <w:p w14:paraId="6E3DC454">
      <w:pPr>
        <w:spacing w:line="240" w:lineRule="auto"/>
        <w:ind w:firstLine="482" w:firstLineChars="200"/>
        <w:rPr>
          <w:rFonts w:ascii="Times New Roman" w:hAnsi="Times New Roman" w:eastAsia="仿宋" w:cs="Times New Roman"/>
          <w:sz w:val="24"/>
          <w:szCs w:val="24"/>
        </w:rPr>
      </w:pPr>
      <w:r>
        <w:rPr>
          <w:rFonts w:hint="eastAsia" w:ascii="Times New Roman" w:hAnsi="Times New Roman" w:eastAsia="仿宋" w:cs="Times New Roman"/>
          <w:b/>
          <w:sz w:val="24"/>
          <w:szCs w:val="24"/>
        </w:rPr>
        <w:t>以</w:t>
      </w:r>
      <w:r>
        <w:rPr>
          <w:rFonts w:ascii="Times New Roman" w:hAnsi="Times New Roman" w:eastAsia="仿宋" w:cs="Times New Roman"/>
          <w:b/>
          <w:sz w:val="24"/>
          <w:szCs w:val="24"/>
        </w:rPr>
        <w:t>Andersen</w:t>
      </w:r>
      <w:r>
        <w:rPr>
          <w:rFonts w:hint="eastAsia" w:ascii="Times New Roman" w:hAnsi="Times New Roman" w:eastAsia="仿宋" w:cs="Times New Roman"/>
          <w:b/>
          <w:sz w:val="24"/>
          <w:szCs w:val="24"/>
        </w:rPr>
        <w:t>作为参比方法</w:t>
      </w:r>
      <w:r>
        <w:rPr>
          <w:rFonts w:ascii="Times New Roman" w:hAnsi="Times New Roman" w:eastAsia="仿宋" w:cs="Times New Roman"/>
          <w:sz w:val="24"/>
          <w:szCs w:val="24"/>
        </w:rPr>
        <w:t>，</w:t>
      </w:r>
      <w:r>
        <w:rPr>
          <w:rFonts w:hint="eastAsia" w:ascii="Times New Roman" w:hAnsi="Times New Roman" w:eastAsia="仿宋" w:cs="Times New Roman"/>
          <w:sz w:val="24"/>
          <w:szCs w:val="24"/>
        </w:rPr>
        <w:t>分析结果如下：</w:t>
      </w:r>
    </w:p>
    <w:p w14:paraId="52A1B43D">
      <w:pPr>
        <w:pStyle w:val="4"/>
        <w:spacing w:line="240" w:lineRule="auto"/>
        <w:ind w:firstLine="482"/>
      </w:pPr>
      <w:bookmarkStart w:id="213" w:name="_Toc11982"/>
      <w:bookmarkStart w:id="214" w:name="_Toc4517"/>
      <w:bookmarkStart w:id="215" w:name="_Toc188029661"/>
      <w:r>
        <w:rPr>
          <w:rFonts w:hint="eastAsia"/>
        </w:rPr>
        <w:t>1）单次检测结果比对</w:t>
      </w:r>
      <w:bookmarkEnd w:id="213"/>
      <w:bookmarkEnd w:id="214"/>
      <w:bookmarkEnd w:id="215"/>
    </w:p>
    <w:p w14:paraId="79DED65F">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夏季结果分析显示：静电场</w:t>
      </w:r>
      <w:r>
        <w:rPr>
          <w:rFonts w:ascii="Times New Roman" w:hAnsi="Times New Roman" w:eastAsia="仿宋" w:cs="Times New Roman"/>
          <w:sz w:val="24"/>
          <w:szCs w:val="24"/>
        </w:rPr>
        <w:t>98.75%</w:t>
      </w:r>
      <w:r>
        <w:rPr>
          <w:rFonts w:hint="eastAsia" w:ascii="Times New Roman" w:hAnsi="Times New Roman" w:eastAsia="仿宋" w:cs="Times New Roman"/>
          <w:sz w:val="24"/>
          <w:szCs w:val="24"/>
        </w:rPr>
        <w:t>（</w:t>
      </w:r>
      <w:r>
        <w:rPr>
          <w:rFonts w:ascii="Times New Roman" w:hAnsi="Times New Roman" w:eastAsia="仿宋" w:cs="Times New Roman"/>
          <w:sz w:val="24"/>
          <w:szCs w:val="24"/>
        </w:rPr>
        <w:t>79/80</w:t>
      </w:r>
      <w:r>
        <w:rPr>
          <w:rFonts w:hint="eastAsia" w:ascii="Times New Roman" w:hAnsi="Times New Roman" w:eastAsia="仿宋" w:cs="Times New Roman"/>
          <w:sz w:val="24"/>
          <w:szCs w:val="24"/>
        </w:rPr>
        <w:t>）的单次结果高于</w:t>
      </w:r>
      <w:r>
        <w:rPr>
          <w:rFonts w:ascii="Times New Roman" w:hAnsi="Times New Roman" w:eastAsia="仿宋" w:cs="Times New Roman"/>
          <w:sz w:val="24"/>
          <w:szCs w:val="24"/>
        </w:rPr>
        <w:t>Andersen</w:t>
      </w:r>
      <w:r>
        <w:rPr>
          <w:rFonts w:hint="eastAsia" w:ascii="Times New Roman" w:hAnsi="Times New Roman" w:eastAsia="仿宋" w:cs="Times New Roman"/>
          <w:sz w:val="24"/>
          <w:szCs w:val="24"/>
        </w:rPr>
        <w:t>，差值范围</w:t>
      </w:r>
      <w:r>
        <w:rPr>
          <w:rFonts w:ascii="Times New Roman" w:hAnsi="Times New Roman" w:eastAsia="仿宋" w:cs="Times New Roman"/>
          <w:sz w:val="24"/>
          <w:szCs w:val="24"/>
        </w:rPr>
        <w:t>-75.55</w:t>
      </w:r>
      <w:r>
        <w:rPr>
          <w:rFonts w:hint="eastAsia" w:ascii="Times New Roman" w:hAnsi="Times New Roman" w:eastAsia="仿宋" w:cs="Times New Roman"/>
          <w:sz w:val="24"/>
          <w:szCs w:val="24"/>
        </w:rPr>
        <w:t>~</w:t>
      </w:r>
      <w:r>
        <w:rPr>
          <w:rFonts w:ascii="Times New Roman" w:hAnsi="Times New Roman" w:eastAsia="仿宋" w:cs="Times New Roman"/>
          <w:sz w:val="24"/>
          <w:szCs w:val="24"/>
        </w:rPr>
        <w:t>12732.44</w:t>
      </w:r>
      <w:r>
        <w:rPr>
          <w:rFonts w:hint="eastAsia" w:ascii="Times New Roman" w:hAnsi="Times New Roman" w:eastAsia="仿宋" w:cs="Times New Roman"/>
          <w:sz w:val="24"/>
          <w:szCs w:val="24"/>
        </w:rPr>
        <w:t xml:space="preserve"> C</w:t>
      </w:r>
      <w:r>
        <w:rPr>
          <w:rFonts w:ascii="Times New Roman" w:hAnsi="Times New Roman" w:eastAsia="仿宋" w:cs="Times New Roman"/>
          <w:sz w:val="24"/>
          <w:szCs w:val="24"/>
        </w:rPr>
        <w:t>FU/</w:t>
      </w:r>
      <w:r>
        <w:rPr>
          <w:rFonts w:hint="eastAsia" w:ascii="Times New Roman" w:hAnsi="Times New Roman" w:eastAsia="仿宋" w:cs="Times New Roman"/>
          <w:sz w:val="24"/>
          <w:szCs w:val="24"/>
        </w:rPr>
        <w:t>m</w:t>
      </w:r>
      <w:r>
        <w:rPr>
          <w:rFonts w:ascii="Times New Roman" w:hAnsi="Times New Roman" w:eastAsia="仿宋" w:cs="Times New Roman"/>
          <w:sz w:val="24"/>
          <w:szCs w:val="24"/>
          <w:vertAlign w:val="superscript"/>
        </w:rPr>
        <w:t>3</w:t>
      </w:r>
      <w:r>
        <w:rPr>
          <w:rFonts w:hint="eastAsia" w:ascii="Times New Roman" w:hAnsi="Times New Roman" w:eastAsia="仿宋" w:cs="Times New Roman"/>
          <w:sz w:val="24"/>
          <w:szCs w:val="24"/>
        </w:rPr>
        <w:t>，倍数范围</w:t>
      </w:r>
      <w:r>
        <w:rPr>
          <w:rFonts w:ascii="Times New Roman" w:hAnsi="Times New Roman" w:eastAsia="仿宋" w:cs="Times New Roman"/>
          <w:sz w:val="24"/>
          <w:szCs w:val="24"/>
        </w:rPr>
        <w:t>0.94</w:t>
      </w:r>
      <w:r>
        <w:rPr>
          <w:rFonts w:hint="eastAsia" w:ascii="Times New Roman" w:hAnsi="Times New Roman" w:eastAsia="仿宋" w:cs="Times New Roman"/>
          <w:sz w:val="24"/>
          <w:szCs w:val="24"/>
        </w:rPr>
        <w:t>~</w:t>
      </w:r>
      <w:r>
        <w:rPr>
          <w:rFonts w:ascii="Times New Roman" w:hAnsi="Times New Roman" w:eastAsia="仿宋" w:cs="Times New Roman"/>
          <w:sz w:val="24"/>
          <w:szCs w:val="24"/>
        </w:rPr>
        <w:t>12.99</w:t>
      </w:r>
      <w:r>
        <w:rPr>
          <w:rFonts w:hint="eastAsia" w:ascii="Times New Roman" w:hAnsi="Times New Roman" w:eastAsia="仿宋" w:cs="Times New Roman"/>
          <w:sz w:val="24"/>
          <w:szCs w:val="24"/>
        </w:rPr>
        <w:t>倍。</w:t>
      </w:r>
    </w:p>
    <w:p w14:paraId="0FF37C87">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冬季结果分析显示：静电场</w:t>
      </w:r>
      <w:r>
        <w:rPr>
          <w:rFonts w:ascii="Times New Roman" w:hAnsi="Times New Roman" w:eastAsia="仿宋" w:cs="Times New Roman"/>
          <w:sz w:val="24"/>
          <w:szCs w:val="24"/>
        </w:rPr>
        <w:t>100%</w:t>
      </w:r>
      <w:r>
        <w:rPr>
          <w:rFonts w:hint="eastAsia" w:ascii="Times New Roman" w:hAnsi="Times New Roman" w:eastAsia="仿宋" w:cs="Times New Roman"/>
          <w:sz w:val="24"/>
          <w:szCs w:val="24"/>
        </w:rPr>
        <w:t>（8</w:t>
      </w:r>
      <w:r>
        <w:rPr>
          <w:rFonts w:ascii="Times New Roman" w:hAnsi="Times New Roman" w:eastAsia="仿宋" w:cs="Times New Roman"/>
          <w:sz w:val="24"/>
          <w:szCs w:val="24"/>
        </w:rPr>
        <w:t>0/80</w:t>
      </w:r>
      <w:r>
        <w:rPr>
          <w:rFonts w:hint="eastAsia" w:ascii="Times New Roman" w:hAnsi="Times New Roman" w:eastAsia="仿宋" w:cs="Times New Roman"/>
          <w:sz w:val="24"/>
          <w:szCs w:val="24"/>
        </w:rPr>
        <w:t>）的单次结果高于</w:t>
      </w:r>
      <w:r>
        <w:rPr>
          <w:rFonts w:ascii="Times New Roman" w:hAnsi="Times New Roman" w:eastAsia="仿宋" w:cs="Times New Roman"/>
          <w:sz w:val="24"/>
          <w:szCs w:val="24"/>
        </w:rPr>
        <w:t>Andersen</w:t>
      </w:r>
      <w:r>
        <w:rPr>
          <w:rFonts w:hint="eastAsia" w:ascii="Times New Roman" w:hAnsi="Times New Roman" w:eastAsia="仿宋" w:cs="Times New Roman"/>
          <w:sz w:val="24"/>
          <w:szCs w:val="24"/>
        </w:rPr>
        <w:t>，差值范围</w:t>
      </w:r>
      <w:r>
        <w:rPr>
          <w:rFonts w:ascii="Times New Roman" w:hAnsi="Times New Roman" w:eastAsia="仿宋" w:cs="Times New Roman"/>
          <w:sz w:val="24"/>
          <w:szCs w:val="24"/>
        </w:rPr>
        <w:t>372.79</w:t>
      </w:r>
      <w:r>
        <w:rPr>
          <w:rFonts w:hint="eastAsia" w:ascii="Times New Roman" w:hAnsi="Times New Roman" w:eastAsia="仿宋" w:cs="Times New Roman"/>
          <w:sz w:val="24"/>
          <w:szCs w:val="24"/>
        </w:rPr>
        <w:t>~</w:t>
      </w:r>
      <w:r>
        <w:rPr>
          <w:rFonts w:ascii="Times New Roman" w:hAnsi="Times New Roman" w:eastAsia="仿宋" w:cs="Times New Roman"/>
          <w:sz w:val="24"/>
          <w:szCs w:val="24"/>
        </w:rPr>
        <w:t>4253.29</w:t>
      </w:r>
      <w:r>
        <w:rPr>
          <w:rFonts w:hint="eastAsia" w:ascii="Times New Roman" w:hAnsi="Times New Roman" w:eastAsia="仿宋" w:cs="Times New Roman"/>
          <w:sz w:val="24"/>
          <w:szCs w:val="24"/>
        </w:rPr>
        <w:t xml:space="preserve"> C</w:t>
      </w:r>
      <w:r>
        <w:rPr>
          <w:rFonts w:ascii="Times New Roman" w:hAnsi="Times New Roman" w:eastAsia="仿宋" w:cs="Times New Roman"/>
          <w:sz w:val="24"/>
          <w:szCs w:val="24"/>
        </w:rPr>
        <w:t>FU/</w:t>
      </w:r>
      <w:r>
        <w:rPr>
          <w:rFonts w:hint="eastAsia" w:ascii="Times New Roman" w:hAnsi="Times New Roman" w:eastAsia="仿宋" w:cs="Times New Roman"/>
          <w:sz w:val="24"/>
          <w:szCs w:val="24"/>
        </w:rPr>
        <w:t>m</w:t>
      </w:r>
      <w:r>
        <w:rPr>
          <w:rFonts w:ascii="Times New Roman" w:hAnsi="Times New Roman" w:eastAsia="仿宋" w:cs="Times New Roman"/>
          <w:sz w:val="24"/>
          <w:szCs w:val="24"/>
          <w:vertAlign w:val="superscript"/>
        </w:rPr>
        <w:t>3</w:t>
      </w:r>
      <w:r>
        <w:rPr>
          <w:rFonts w:hint="eastAsia" w:ascii="Times New Roman" w:hAnsi="Times New Roman" w:eastAsia="仿宋" w:cs="Times New Roman"/>
          <w:sz w:val="24"/>
          <w:szCs w:val="24"/>
        </w:rPr>
        <w:t>，倍数范围</w:t>
      </w:r>
      <w:r>
        <w:rPr>
          <w:rFonts w:ascii="Times New Roman" w:hAnsi="Times New Roman" w:eastAsia="仿宋" w:cs="Times New Roman"/>
          <w:sz w:val="24"/>
          <w:szCs w:val="24"/>
        </w:rPr>
        <w:t>1.75</w:t>
      </w:r>
      <w:r>
        <w:rPr>
          <w:rFonts w:hint="eastAsia" w:ascii="Times New Roman" w:hAnsi="Times New Roman" w:eastAsia="仿宋" w:cs="Times New Roman"/>
          <w:sz w:val="24"/>
          <w:szCs w:val="24"/>
        </w:rPr>
        <w:t>~</w:t>
      </w:r>
      <w:r>
        <w:rPr>
          <w:rFonts w:ascii="Times New Roman" w:hAnsi="Times New Roman" w:eastAsia="仿宋" w:cs="Times New Roman"/>
          <w:sz w:val="24"/>
          <w:szCs w:val="24"/>
        </w:rPr>
        <w:t>20.32</w:t>
      </w:r>
      <w:r>
        <w:rPr>
          <w:rFonts w:hint="eastAsia" w:ascii="Times New Roman" w:hAnsi="Times New Roman" w:eastAsia="仿宋" w:cs="Times New Roman"/>
          <w:sz w:val="24"/>
          <w:szCs w:val="24"/>
        </w:rPr>
        <w:t>倍。</w:t>
      </w:r>
    </w:p>
    <w:p w14:paraId="464D5804">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两季结果均提示，静电场方法结果较参比方法结果偏倚较大，</w:t>
      </w:r>
      <w:r>
        <w:rPr>
          <w:rFonts w:hint="eastAsia" w:ascii="Times New Roman" w:hAnsi="Times New Roman" w:eastAsia="仿宋" w:cs="Times New Roman"/>
          <w:kern w:val="0"/>
          <w:sz w:val="24"/>
          <w:szCs w:val="24"/>
        </w:rPr>
        <w:t>波动较大，</w:t>
      </w:r>
      <w:r>
        <w:rPr>
          <w:rFonts w:hint="eastAsia" w:ascii="Times New Roman" w:hAnsi="Times New Roman" w:eastAsia="仿宋" w:cs="Times New Roman"/>
          <w:sz w:val="24"/>
          <w:szCs w:val="24"/>
        </w:rPr>
        <w:t>准确性较低。对两季参比方法和新方法单次检测结果进行t检验，结果显示</w:t>
      </w:r>
      <w:r>
        <w:rPr>
          <w:rFonts w:hint="eastAsia" w:cs="Times New Roman"/>
          <w:i/>
          <w:iCs/>
          <w:sz w:val="24"/>
          <w:szCs w:val="24"/>
          <w:lang w:val="en-US" w:eastAsia="zh-CN"/>
        </w:rPr>
        <w:t>P</w:t>
      </w:r>
      <w:r>
        <w:rPr>
          <w:rFonts w:ascii="Times New Roman" w:hAnsi="Times New Roman" w:eastAsia="仿宋" w:cs="Times New Roman"/>
          <w:sz w:val="24"/>
          <w:szCs w:val="24"/>
        </w:rPr>
        <w:t>&lt;0.05</w:t>
      </w:r>
      <w:r>
        <w:rPr>
          <w:rFonts w:hint="eastAsia" w:ascii="Times New Roman" w:hAnsi="Times New Roman" w:eastAsia="仿宋" w:cs="Times New Roman"/>
          <w:sz w:val="24"/>
          <w:szCs w:val="24"/>
        </w:rPr>
        <w:t>，提示静电场检测结果和Andersen采样检测结果差异有统计学意义，静电场采样的结果偏高。</w:t>
      </w:r>
    </w:p>
    <w:p w14:paraId="20365E42">
      <w:pPr>
        <w:pStyle w:val="4"/>
        <w:spacing w:line="240" w:lineRule="auto"/>
        <w:ind w:firstLine="482"/>
      </w:pPr>
      <w:bookmarkStart w:id="216" w:name="_Toc188029662"/>
      <w:bookmarkStart w:id="217" w:name="_Toc14760"/>
      <w:bookmarkStart w:id="218" w:name="_Toc15335"/>
      <w:r>
        <w:t>2</w:t>
      </w:r>
      <w:r>
        <w:rPr>
          <w:rFonts w:hint="eastAsia"/>
        </w:rPr>
        <w:t>）分层及整体检测结果比对</w:t>
      </w:r>
      <w:r>
        <w:rPr>
          <w:rFonts w:hint="eastAsia" w:cs="Times New Roman"/>
          <w:szCs w:val="24"/>
        </w:rPr>
        <w:t>（表</w:t>
      </w:r>
      <w:r>
        <w:rPr>
          <w:rFonts w:cs="Times New Roman"/>
          <w:szCs w:val="24"/>
        </w:rPr>
        <w:t>4</w:t>
      </w:r>
      <w:r>
        <w:rPr>
          <w:rFonts w:hint="eastAsia" w:cs="Times New Roman"/>
          <w:szCs w:val="24"/>
        </w:rPr>
        <w:t>）</w:t>
      </w:r>
      <w:bookmarkEnd w:id="216"/>
      <w:bookmarkEnd w:id="217"/>
      <w:bookmarkEnd w:id="218"/>
    </w:p>
    <w:p w14:paraId="223C5CC0">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夏季结果分析显示：以不同采样时间、地点情景进行分层比较两种方法平均值，结果分析显示：静电场结果高于</w:t>
      </w:r>
      <w:r>
        <w:rPr>
          <w:rFonts w:ascii="Times New Roman" w:hAnsi="Times New Roman" w:eastAsia="仿宋" w:cs="Times New Roman"/>
          <w:sz w:val="24"/>
          <w:szCs w:val="24"/>
        </w:rPr>
        <w:t>Andersen</w:t>
      </w:r>
      <w:r>
        <w:rPr>
          <w:rFonts w:hint="eastAsia" w:ascii="Times New Roman" w:hAnsi="Times New Roman" w:eastAsia="仿宋" w:cs="Times New Roman"/>
          <w:sz w:val="24"/>
          <w:szCs w:val="24"/>
        </w:rPr>
        <w:t>结果，差值范围</w:t>
      </w:r>
      <w:r>
        <w:rPr>
          <w:rFonts w:ascii="Times New Roman" w:hAnsi="Times New Roman" w:eastAsia="仿宋" w:cs="Times New Roman"/>
          <w:sz w:val="24"/>
          <w:szCs w:val="24"/>
        </w:rPr>
        <w:t>1854.68</w:t>
      </w:r>
      <w:r>
        <w:rPr>
          <w:rFonts w:hint="eastAsia" w:ascii="Times New Roman" w:hAnsi="Times New Roman" w:eastAsia="仿宋" w:cs="Times New Roman"/>
          <w:sz w:val="24"/>
          <w:szCs w:val="24"/>
        </w:rPr>
        <w:t>~</w:t>
      </w:r>
      <w:r>
        <w:rPr>
          <w:rFonts w:ascii="Times New Roman" w:hAnsi="Times New Roman" w:eastAsia="仿宋" w:cs="Times New Roman"/>
          <w:sz w:val="24"/>
          <w:szCs w:val="24"/>
        </w:rPr>
        <w:t>5980.52</w:t>
      </w:r>
      <w:r>
        <w:rPr>
          <w:rFonts w:hint="eastAsia" w:ascii="Times New Roman" w:hAnsi="Times New Roman" w:eastAsia="仿宋" w:cs="Times New Roman"/>
          <w:sz w:val="24"/>
          <w:szCs w:val="24"/>
        </w:rPr>
        <w:t xml:space="preserve"> C</w:t>
      </w:r>
      <w:r>
        <w:rPr>
          <w:rFonts w:ascii="Times New Roman" w:hAnsi="Times New Roman" w:eastAsia="仿宋" w:cs="Times New Roman"/>
          <w:sz w:val="24"/>
          <w:szCs w:val="24"/>
        </w:rPr>
        <w:t>FU/</w:t>
      </w:r>
      <w:r>
        <w:rPr>
          <w:rFonts w:hint="eastAsia" w:ascii="Times New Roman" w:hAnsi="Times New Roman" w:eastAsia="仿宋" w:cs="Times New Roman"/>
          <w:sz w:val="24"/>
          <w:szCs w:val="24"/>
        </w:rPr>
        <w:t>m</w:t>
      </w:r>
      <w:r>
        <w:rPr>
          <w:rFonts w:ascii="Times New Roman" w:hAnsi="Times New Roman" w:eastAsia="仿宋" w:cs="Times New Roman"/>
          <w:sz w:val="24"/>
          <w:szCs w:val="24"/>
          <w:vertAlign w:val="superscript"/>
        </w:rPr>
        <w:t>3</w:t>
      </w:r>
      <w:r>
        <w:rPr>
          <w:rFonts w:hint="eastAsia" w:ascii="Times New Roman" w:hAnsi="Times New Roman" w:eastAsia="仿宋" w:cs="Times New Roman"/>
          <w:sz w:val="24"/>
          <w:szCs w:val="24"/>
        </w:rPr>
        <w:t>；静电场结果是Andersen结果的</w:t>
      </w:r>
      <w:r>
        <w:rPr>
          <w:rFonts w:ascii="Times New Roman" w:hAnsi="Times New Roman" w:eastAsia="仿宋" w:cs="Times New Roman"/>
          <w:sz w:val="24"/>
          <w:szCs w:val="24"/>
        </w:rPr>
        <w:t>4.50</w:t>
      </w:r>
      <w:r>
        <w:rPr>
          <w:rFonts w:hint="eastAsia" w:ascii="Times New Roman" w:hAnsi="Times New Roman" w:eastAsia="仿宋" w:cs="Times New Roman"/>
          <w:sz w:val="24"/>
          <w:szCs w:val="24"/>
        </w:rPr>
        <w:t>~</w:t>
      </w:r>
      <w:r>
        <w:rPr>
          <w:rFonts w:ascii="Times New Roman" w:hAnsi="Times New Roman" w:eastAsia="仿宋" w:cs="Times New Roman"/>
          <w:sz w:val="24"/>
          <w:szCs w:val="24"/>
        </w:rPr>
        <w:t>5.20</w:t>
      </w:r>
      <w:r>
        <w:rPr>
          <w:rFonts w:hint="eastAsia" w:ascii="Times New Roman" w:hAnsi="Times New Roman" w:eastAsia="仿宋" w:cs="Times New Roman"/>
          <w:sz w:val="24"/>
          <w:szCs w:val="24"/>
        </w:rPr>
        <w:t>倍。整体检测结果显示：静电场采样检测结果高于Andersen采样检测结果，差值平均为</w:t>
      </w:r>
      <w:r>
        <w:rPr>
          <w:rFonts w:ascii="Times New Roman" w:hAnsi="Times New Roman" w:eastAsia="仿宋" w:cs="Times New Roman"/>
          <w:sz w:val="24"/>
          <w:szCs w:val="24"/>
        </w:rPr>
        <w:t>3939.16</w:t>
      </w:r>
      <w:r>
        <w:rPr>
          <w:rFonts w:hint="eastAsia" w:ascii="Times New Roman" w:hAnsi="Times New Roman" w:eastAsia="仿宋" w:cs="Times New Roman"/>
          <w:sz w:val="24"/>
          <w:szCs w:val="24"/>
        </w:rPr>
        <w:t>C</w:t>
      </w:r>
      <w:r>
        <w:rPr>
          <w:rFonts w:ascii="Times New Roman" w:hAnsi="Times New Roman" w:eastAsia="仿宋" w:cs="Times New Roman"/>
          <w:sz w:val="24"/>
          <w:szCs w:val="24"/>
        </w:rPr>
        <w:t>FU/</w:t>
      </w:r>
      <w:r>
        <w:rPr>
          <w:rFonts w:hint="eastAsia" w:ascii="Times New Roman" w:hAnsi="Times New Roman" w:eastAsia="仿宋" w:cs="Times New Roman"/>
          <w:sz w:val="24"/>
          <w:szCs w:val="24"/>
        </w:rPr>
        <w:t>m</w:t>
      </w:r>
      <w:r>
        <w:rPr>
          <w:rFonts w:ascii="Times New Roman" w:hAnsi="Times New Roman" w:eastAsia="仿宋" w:cs="Times New Roman"/>
          <w:sz w:val="24"/>
          <w:szCs w:val="24"/>
          <w:vertAlign w:val="superscript"/>
        </w:rPr>
        <w:t>3</w:t>
      </w:r>
      <w:r>
        <w:rPr>
          <w:rFonts w:hint="eastAsia" w:ascii="Times New Roman" w:hAnsi="Times New Roman" w:eastAsia="仿宋" w:cs="Times New Roman"/>
          <w:sz w:val="24"/>
          <w:szCs w:val="24"/>
        </w:rPr>
        <w:t>，静电场采样检测结果平均是Andersen采样检测结果的</w:t>
      </w:r>
      <w:r>
        <w:rPr>
          <w:rFonts w:ascii="Times New Roman" w:hAnsi="Times New Roman" w:eastAsia="仿宋" w:cs="Times New Roman"/>
          <w:sz w:val="24"/>
          <w:szCs w:val="24"/>
        </w:rPr>
        <w:t>4.84</w:t>
      </w:r>
      <w:r>
        <w:rPr>
          <w:rFonts w:hint="eastAsia" w:ascii="Times New Roman" w:hAnsi="Times New Roman" w:eastAsia="仿宋" w:cs="Times New Roman"/>
          <w:sz w:val="24"/>
          <w:szCs w:val="24"/>
        </w:rPr>
        <w:t>倍。</w:t>
      </w:r>
    </w:p>
    <w:p w14:paraId="5DDE30C9">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冬季结果分析显示：以不同采样时间、地点情景进行分层比较两种方法平均值，结果分析显示：</w:t>
      </w:r>
      <w:bookmarkStart w:id="219" w:name="_Hlk188009450"/>
      <w:r>
        <w:rPr>
          <w:rFonts w:hint="eastAsia" w:ascii="Times New Roman" w:hAnsi="Times New Roman" w:eastAsia="仿宋" w:cs="Times New Roman"/>
          <w:sz w:val="24"/>
          <w:szCs w:val="24"/>
        </w:rPr>
        <w:t>静电场结果高于</w:t>
      </w:r>
      <w:r>
        <w:rPr>
          <w:rFonts w:ascii="Times New Roman" w:hAnsi="Times New Roman" w:eastAsia="仿宋" w:cs="Times New Roman"/>
          <w:sz w:val="24"/>
          <w:szCs w:val="24"/>
        </w:rPr>
        <w:t>Andersen</w:t>
      </w:r>
      <w:r>
        <w:rPr>
          <w:rFonts w:hint="eastAsia" w:ascii="Times New Roman" w:hAnsi="Times New Roman" w:eastAsia="仿宋" w:cs="Times New Roman"/>
          <w:sz w:val="24"/>
          <w:szCs w:val="24"/>
        </w:rPr>
        <w:t>结果，差值范围</w:t>
      </w:r>
      <w:r>
        <w:rPr>
          <w:rFonts w:ascii="Times New Roman" w:hAnsi="Times New Roman" w:eastAsia="仿宋" w:cs="Times New Roman"/>
          <w:sz w:val="24"/>
          <w:szCs w:val="24"/>
        </w:rPr>
        <w:t>892.04</w:t>
      </w:r>
      <w:r>
        <w:rPr>
          <w:rFonts w:hint="eastAsia" w:ascii="Times New Roman" w:hAnsi="Times New Roman" w:eastAsia="仿宋" w:cs="Times New Roman"/>
          <w:sz w:val="24"/>
          <w:szCs w:val="24"/>
        </w:rPr>
        <w:t>~</w:t>
      </w:r>
      <w:r>
        <w:rPr>
          <w:rFonts w:ascii="Times New Roman" w:hAnsi="Times New Roman" w:eastAsia="仿宋" w:cs="Times New Roman"/>
          <w:sz w:val="24"/>
          <w:szCs w:val="24"/>
        </w:rPr>
        <w:t>2874.05</w:t>
      </w:r>
      <w:r>
        <w:rPr>
          <w:rFonts w:hint="eastAsia" w:ascii="Times New Roman" w:hAnsi="Times New Roman" w:eastAsia="仿宋" w:cs="Times New Roman"/>
          <w:sz w:val="24"/>
          <w:szCs w:val="24"/>
        </w:rPr>
        <w:t xml:space="preserve"> C</w:t>
      </w:r>
      <w:r>
        <w:rPr>
          <w:rFonts w:ascii="Times New Roman" w:hAnsi="Times New Roman" w:eastAsia="仿宋" w:cs="Times New Roman"/>
          <w:sz w:val="24"/>
          <w:szCs w:val="24"/>
        </w:rPr>
        <w:t>FU/</w:t>
      </w:r>
      <w:r>
        <w:rPr>
          <w:rFonts w:hint="eastAsia" w:ascii="Times New Roman" w:hAnsi="Times New Roman" w:eastAsia="仿宋" w:cs="Times New Roman"/>
          <w:sz w:val="24"/>
          <w:szCs w:val="24"/>
        </w:rPr>
        <w:t>m</w:t>
      </w:r>
      <w:r>
        <w:rPr>
          <w:rFonts w:ascii="Times New Roman" w:hAnsi="Times New Roman" w:eastAsia="仿宋" w:cs="Times New Roman"/>
          <w:sz w:val="24"/>
          <w:szCs w:val="24"/>
          <w:vertAlign w:val="superscript"/>
        </w:rPr>
        <w:t>3</w:t>
      </w:r>
      <w:r>
        <w:rPr>
          <w:rFonts w:hint="eastAsia" w:ascii="Times New Roman" w:hAnsi="Times New Roman" w:eastAsia="仿宋" w:cs="Times New Roman"/>
          <w:sz w:val="24"/>
          <w:szCs w:val="24"/>
        </w:rPr>
        <w:t>；静电场结果是Andersen结果的4</w:t>
      </w:r>
      <w:r>
        <w:rPr>
          <w:rFonts w:ascii="Times New Roman" w:hAnsi="Times New Roman" w:eastAsia="仿宋" w:cs="Times New Roman"/>
          <w:sz w:val="24"/>
          <w:szCs w:val="24"/>
        </w:rPr>
        <w:t>.85</w:t>
      </w:r>
      <w:r>
        <w:rPr>
          <w:rFonts w:hint="eastAsia" w:ascii="Times New Roman" w:hAnsi="Times New Roman" w:eastAsia="仿宋" w:cs="Times New Roman"/>
          <w:sz w:val="24"/>
          <w:szCs w:val="24"/>
        </w:rPr>
        <w:t>~</w:t>
      </w:r>
      <w:r>
        <w:rPr>
          <w:rFonts w:ascii="Times New Roman" w:hAnsi="Times New Roman" w:eastAsia="仿宋" w:cs="Times New Roman"/>
          <w:sz w:val="24"/>
          <w:szCs w:val="24"/>
        </w:rPr>
        <w:t>7.34</w:t>
      </w:r>
      <w:r>
        <w:rPr>
          <w:rFonts w:hint="eastAsia" w:ascii="Times New Roman" w:hAnsi="Times New Roman" w:eastAsia="仿宋" w:cs="Times New Roman"/>
          <w:sz w:val="24"/>
          <w:szCs w:val="24"/>
        </w:rPr>
        <w:t>倍。</w:t>
      </w:r>
      <w:bookmarkStart w:id="220" w:name="_Hlk188010114"/>
      <w:r>
        <w:rPr>
          <w:rFonts w:hint="eastAsia" w:ascii="Times New Roman" w:hAnsi="Times New Roman" w:eastAsia="仿宋" w:cs="Times New Roman"/>
          <w:sz w:val="24"/>
          <w:szCs w:val="24"/>
        </w:rPr>
        <w:t>整体检测结果显示：</w:t>
      </w:r>
      <w:bookmarkEnd w:id="220"/>
      <w:r>
        <w:rPr>
          <w:rFonts w:hint="eastAsia" w:ascii="Times New Roman" w:hAnsi="Times New Roman" w:eastAsia="仿宋" w:cs="Times New Roman"/>
          <w:sz w:val="24"/>
          <w:szCs w:val="24"/>
        </w:rPr>
        <w:t>静电场采样检测结果高于Andersen采样检测结果，差值平均为</w:t>
      </w:r>
      <w:r>
        <w:rPr>
          <w:rFonts w:ascii="Times New Roman" w:hAnsi="Times New Roman" w:eastAsia="仿宋" w:cs="Times New Roman"/>
          <w:sz w:val="24"/>
          <w:szCs w:val="24"/>
        </w:rPr>
        <w:t>1700.21</w:t>
      </w:r>
      <w:r>
        <w:rPr>
          <w:rFonts w:hint="eastAsia" w:ascii="Times New Roman" w:hAnsi="Times New Roman" w:eastAsia="仿宋" w:cs="Times New Roman"/>
          <w:sz w:val="24"/>
          <w:szCs w:val="24"/>
        </w:rPr>
        <w:t>C</w:t>
      </w:r>
      <w:r>
        <w:rPr>
          <w:rFonts w:ascii="Times New Roman" w:hAnsi="Times New Roman" w:eastAsia="仿宋" w:cs="Times New Roman"/>
          <w:sz w:val="24"/>
          <w:szCs w:val="24"/>
        </w:rPr>
        <w:t>FU/</w:t>
      </w:r>
      <w:r>
        <w:rPr>
          <w:rFonts w:hint="eastAsia" w:ascii="Times New Roman" w:hAnsi="Times New Roman" w:eastAsia="仿宋" w:cs="Times New Roman"/>
          <w:sz w:val="24"/>
          <w:szCs w:val="24"/>
        </w:rPr>
        <w:t>m</w:t>
      </w:r>
      <w:r>
        <w:rPr>
          <w:rFonts w:ascii="Times New Roman" w:hAnsi="Times New Roman" w:eastAsia="仿宋" w:cs="Times New Roman"/>
          <w:sz w:val="24"/>
          <w:szCs w:val="24"/>
          <w:vertAlign w:val="superscript"/>
        </w:rPr>
        <w:t>3</w:t>
      </w:r>
      <w:r>
        <w:rPr>
          <w:rFonts w:hint="eastAsia" w:ascii="Times New Roman" w:hAnsi="Times New Roman" w:eastAsia="仿宋" w:cs="Times New Roman"/>
          <w:sz w:val="24"/>
          <w:szCs w:val="24"/>
        </w:rPr>
        <w:t>，静电场采样检测结果平均是Andersen采样检测结果的</w:t>
      </w:r>
      <w:r>
        <w:rPr>
          <w:rFonts w:ascii="Times New Roman" w:hAnsi="Times New Roman" w:eastAsia="仿宋" w:cs="Times New Roman"/>
          <w:sz w:val="24"/>
          <w:szCs w:val="24"/>
        </w:rPr>
        <w:t>5.75</w:t>
      </w:r>
      <w:r>
        <w:rPr>
          <w:rFonts w:hint="eastAsia" w:ascii="Times New Roman" w:hAnsi="Times New Roman" w:eastAsia="仿宋" w:cs="Times New Roman"/>
          <w:sz w:val="24"/>
          <w:szCs w:val="24"/>
        </w:rPr>
        <w:t>倍。</w:t>
      </w:r>
      <w:bookmarkEnd w:id="219"/>
    </w:p>
    <w:p w14:paraId="5C26C81E">
      <w:pPr>
        <w:spacing w:line="240" w:lineRule="auto"/>
        <w:ind w:firstLine="482" w:firstLineChars="200"/>
        <w:rPr>
          <w:rFonts w:ascii="Times New Roman" w:hAnsi="Times New Roman" w:eastAsia="仿宋" w:cs="Times New Roman"/>
          <w:sz w:val="24"/>
          <w:szCs w:val="24"/>
        </w:rPr>
      </w:pPr>
      <w:r>
        <w:rPr>
          <w:rFonts w:hint="eastAsia" w:ascii="Times New Roman" w:hAnsi="Times New Roman" w:eastAsia="仿宋" w:cs="Times New Roman"/>
          <w:b/>
          <w:sz w:val="24"/>
          <w:szCs w:val="24"/>
        </w:rPr>
        <w:t>以沉降法作为参比方法</w:t>
      </w:r>
      <w:r>
        <w:rPr>
          <w:rFonts w:ascii="Times New Roman" w:hAnsi="Times New Roman" w:eastAsia="仿宋" w:cs="Times New Roman"/>
          <w:sz w:val="24"/>
          <w:szCs w:val="24"/>
        </w:rPr>
        <w:t>，</w:t>
      </w:r>
      <w:r>
        <w:rPr>
          <w:rFonts w:hint="eastAsia" w:ascii="Times New Roman" w:hAnsi="Times New Roman" w:eastAsia="仿宋" w:cs="Times New Roman"/>
          <w:sz w:val="24"/>
          <w:szCs w:val="24"/>
        </w:rPr>
        <w:t>由于沉降法与静电场检测过程不同步，仅进行分层及整体检测结果分析，分析结果如下：</w:t>
      </w:r>
    </w:p>
    <w:p w14:paraId="2D844967">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夏季结果分析显示：以不同采样地点分层比较两种方法平均值，结果分析显示：静电场与沉降法差值范围</w:t>
      </w:r>
      <w:r>
        <w:rPr>
          <w:rFonts w:ascii="Times New Roman" w:hAnsi="Times New Roman" w:eastAsia="仿宋" w:cs="Times New Roman"/>
          <w:sz w:val="24"/>
          <w:szCs w:val="24"/>
        </w:rPr>
        <w:t>2476.39~6285.49CFU/m</w:t>
      </w:r>
      <w:r>
        <w:rPr>
          <w:rFonts w:ascii="Times New Roman" w:hAnsi="Times New Roman" w:eastAsia="仿宋" w:cs="Times New Roman"/>
          <w:sz w:val="24"/>
          <w:szCs w:val="24"/>
          <w:vertAlign w:val="superscript"/>
        </w:rPr>
        <w:t>3</w:t>
      </w:r>
      <w:r>
        <w:rPr>
          <w:rFonts w:ascii="Times New Roman" w:hAnsi="Times New Roman" w:eastAsia="仿宋" w:cs="Times New Roman"/>
          <w:sz w:val="24"/>
          <w:szCs w:val="24"/>
        </w:rPr>
        <w:t>，倍数7.16~9.19倍。</w:t>
      </w:r>
      <w:r>
        <w:rPr>
          <w:rFonts w:hint="eastAsia" w:ascii="Times New Roman" w:hAnsi="Times New Roman" w:eastAsia="仿宋" w:cs="Times New Roman"/>
          <w:sz w:val="24"/>
          <w:szCs w:val="24"/>
        </w:rPr>
        <w:t>整体检测结果显示：静电场采样检测结果高于沉降法</w:t>
      </w:r>
      <w:r>
        <w:rPr>
          <w:rFonts w:ascii="Times New Roman" w:hAnsi="Times New Roman" w:eastAsia="仿宋" w:cs="Times New Roman"/>
          <w:sz w:val="24"/>
          <w:szCs w:val="24"/>
        </w:rPr>
        <w:t>采样检测结果，差值平均为4380.94CFU/m</w:t>
      </w:r>
      <w:r>
        <w:rPr>
          <w:rFonts w:ascii="Times New Roman" w:hAnsi="Times New Roman" w:eastAsia="仿宋" w:cs="Times New Roman"/>
          <w:sz w:val="24"/>
          <w:szCs w:val="24"/>
          <w:vertAlign w:val="superscript"/>
        </w:rPr>
        <w:t>3</w:t>
      </w:r>
      <w:r>
        <w:rPr>
          <w:rFonts w:ascii="Times New Roman" w:hAnsi="Times New Roman" w:eastAsia="仿宋" w:cs="Times New Roman"/>
          <w:sz w:val="24"/>
          <w:szCs w:val="24"/>
        </w:rPr>
        <w:t>，静电场采样检测结果平均是</w:t>
      </w:r>
      <w:r>
        <w:rPr>
          <w:rFonts w:hint="eastAsia" w:ascii="Times New Roman" w:hAnsi="Times New Roman" w:eastAsia="仿宋" w:cs="Times New Roman"/>
          <w:sz w:val="24"/>
          <w:szCs w:val="24"/>
        </w:rPr>
        <w:t>沉降法</w:t>
      </w:r>
      <w:r>
        <w:rPr>
          <w:rFonts w:ascii="Times New Roman" w:hAnsi="Times New Roman" w:eastAsia="仿宋" w:cs="Times New Roman"/>
          <w:sz w:val="24"/>
          <w:szCs w:val="24"/>
        </w:rPr>
        <w:t>采样检测结果的8.49倍</w:t>
      </w:r>
      <w:r>
        <w:rPr>
          <w:rFonts w:hint="eastAsia" w:ascii="Times New Roman" w:hAnsi="Times New Roman" w:eastAsia="仿宋" w:cs="Times New Roman"/>
          <w:sz w:val="24"/>
          <w:szCs w:val="24"/>
        </w:rPr>
        <w:t>。</w:t>
      </w:r>
    </w:p>
    <w:p w14:paraId="39674FE6">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冬季结果分析显示：以不同采样时间、地点情景分层比较两种方法平均值，结果分析显示：静电场与沉降法差值范围</w:t>
      </w:r>
      <w:r>
        <w:rPr>
          <w:rFonts w:ascii="Times New Roman" w:hAnsi="Times New Roman" w:eastAsia="仿宋" w:cs="Times New Roman"/>
          <w:sz w:val="24"/>
          <w:szCs w:val="24"/>
        </w:rPr>
        <w:t>419.33</w:t>
      </w:r>
      <w:r>
        <w:rPr>
          <w:rFonts w:hint="eastAsia" w:ascii="Times New Roman" w:hAnsi="Times New Roman" w:eastAsia="仿宋" w:cs="Times New Roman"/>
          <w:sz w:val="24"/>
          <w:szCs w:val="24"/>
        </w:rPr>
        <w:t>~</w:t>
      </w:r>
      <w:r>
        <w:rPr>
          <w:rFonts w:ascii="Times New Roman" w:hAnsi="Times New Roman" w:eastAsia="仿宋" w:cs="Times New Roman"/>
          <w:sz w:val="24"/>
          <w:szCs w:val="24"/>
        </w:rPr>
        <w:t>2202.00</w:t>
      </w:r>
      <w:r>
        <w:rPr>
          <w:rFonts w:hint="eastAsia" w:ascii="Times New Roman" w:hAnsi="Times New Roman" w:eastAsia="仿宋" w:cs="Times New Roman"/>
          <w:sz w:val="24"/>
          <w:szCs w:val="24"/>
        </w:rPr>
        <w:t>C</w:t>
      </w:r>
      <w:r>
        <w:rPr>
          <w:rFonts w:ascii="Times New Roman" w:hAnsi="Times New Roman" w:eastAsia="仿宋" w:cs="Times New Roman"/>
          <w:sz w:val="24"/>
          <w:szCs w:val="24"/>
        </w:rPr>
        <w:t>FU/</w:t>
      </w:r>
      <w:r>
        <w:rPr>
          <w:rFonts w:hint="eastAsia" w:ascii="Times New Roman" w:hAnsi="Times New Roman" w:eastAsia="仿宋" w:cs="Times New Roman"/>
          <w:sz w:val="24"/>
          <w:szCs w:val="24"/>
        </w:rPr>
        <w:t>m</w:t>
      </w:r>
      <w:r>
        <w:rPr>
          <w:rFonts w:ascii="Times New Roman" w:hAnsi="Times New Roman" w:eastAsia="仿宋" w:cs="Times New Roman"/>
          <w:sz w:val="24"/>
          <w:szCs w:val="24"/>
          <w:vertAlign w:val="superscript"/>
        </w:rPr>
        <w:t>3</w:t>
      </w:r>
      <w:r>
        <w:rPr>
          <w:rFonts w:hint="eastAsia" w:ascii="Times New Roman" w:hAnsi="Times New Roman" w:eastAsia="仿宋" w:cs="Times New Roman"/>
          <w:sz w:val="24"/>
          <w:szCs w:val="24"/>
        </w:rPr>
        <w:t>，倍数</w:t>
      </w:r>
      <w:r>
        <w:rPr>
          <w:rFonts w:ascii="Times New Roman" w:hAnsi="Times New Roman" w:eastAsia="仿宋" w:cs="Times New Roman"/>
          <w:sz w:val="24"/>
          <w:szCs w:val="24"/>
        </w:rPr>
        <w:t>1.16</w:t>
      </w:r>
      <w:r>
        <w:rPr>
          <w:rFonts w:hint="eastAsia" w:ascii="Times New Roman" w:hAnsi="Times New Roman" w:eastAsia="仿宋" w:cs="Times New Roman"/>
          <w:sz w:val="24"/>
          <w:szCs w:val="24"/>
        </w:rPr>
        <w:t>~</w:t>
      </w:r>
      <w:r>
        <w:rPr>
          <w:rFonts w:ascii="Times New Roman" w:hAnsi="Times New Roman" w:eastAsia="仿宋" w:cs="Times New Roman"/>
          <w:sz w:val="24"/>
          <w:szCs w:val="24"/>
        </w:rPr>
        <w:t>2.72</w:t>
      </w:r>
      <w:r>
        <w:rPr>
          <w:rFonts w:hint="eastAsia" w:ascii="Times New Roman" w:hAnsi="Times New Roman" w:eastAsia="仿宋" w:cs="Times New Roman"/>
          <w:sz w:val="24"/>
          <w:szCs w:val="24"/>
        </w:rPr>
        <w:t>倍。整体检测结果显示：静电场采样检测结果高于沉降法采样检测结果，差值平均为</w:t>
      </w:r>
      <w:r>
        <w:rPr>
          <w:rFonts w:ascii="Times New Roman" w:hAnsi="Times New Roman" w:eastAsia="仿宋" w:cs="Times New Roman"/>
          <w:sz w:val="24"/>
          <w:szCs w:val="24"/>
        </w:rPr>
        <w:t>848.67</w:t>
      </w:r>
      <w:r>
        <w:rPr>
          <w:rFonts w:hint="eastAsia" w:ascii="Times New Roman" w:hAnsi="Times New Roman" w:eastAsia="仿宋" w:cs="Times New Roman"/>
          <w:sz w:val="24"/>
          <w:szCs w:val="24"/>
        </w:rPr>
        <w:t xml:space="preserve"> C</w:t>
      </w:r>
      <w:r>
        <w:rPr>
          <w:rFonts w:ascii="Times New Roman" w:hAnsi="Times New Roman" w:eastAsia="仿宋" w:cs="Times New Roman"/>
          <w:sz w:val="24"/>
          <w:szCs w:val="24"/>
        </w:rPr>
        <w:t>FU/</w:t>
      </w:r>
      <w:r>
        <w:rPr>
          <w:rFonts w:hint="eastAsia" w:ascii="Times New Roman" w:hAnsi="Times New Roman" w:eastAsia="仿宋" w:cs="Times New Roman"/>
          <w:sz w:val="24"/>
          <w:szCs w:val="24"/>
        </w:rPr>
        <w:t>m</w:t>
      </w:r>
      <w:r>
        <w:rPr>
          <w:rFonts w:ascii="Times New Roman" w:hAnsi="Times New Roman" w:eastAsia="仿宋" w:cs="Times New Roman"/>
          <w:sz w:val="24"/>
          <w:szCs w:val="24"/>
          <w:vertAlign w:val="superscript"/>
        </w:rPr>
        <w:t>3</w:t>
      </w:r>
      <w:r>
        <w:rPr>
          <w:rFonts w:hint="eastAsia" w:ascii="Times New Roman" w:hAnsi="Times New Roman" w:eastAsia="仿宋" w:cs="Times New Roman"/>
          <w:sz w:val="24"/>
          <w:szCs w:val="24"/>
        </w:rPr>
        <w:t>，静电场采样检测结果平均是沉降法采样检测结果的</w:t>
      </w:r>
      <w:r>
        <w:rPr>
          <w:rFonts w:ascii="Times New Roman" w:hAnsi="Times New Roman" w:eastAsia="仿宋" w:cs="Times New Roman"/>
          <w:sz w:val="24"/>
          <w:szCs w:val="24"/>
        </w:rPr>
        <w:t>1.70</w:t>
      </w:r>
      <w:r>
        <w:rPr>
          <w:rFonts w:hint="eastAsia" w:ascii="Times New Roman" w:hAnsi="Times New Roman" w:eastAsia="仿宋" w:cs="Times New Roman"/>
          <w:sz w:val="24"/>
          <w:szCs w:val="24"/>
        </w:rPr>
        <w:t>倍。</w:t>
      </w:r>
    </w:p>
    <w:p w14:paraId="7CF12945">
      <w:pPr>
        <w:widowControl/>
        <w:spacing w:line="240" w:lineRule="auto"/>
        <w:ind w:firstLine="482"/>
        <w:rPr>
          <w:rFonts w:ascii="Times New Roman" w:hAnsi="Times New Roman" w:eastAsia="仿宋" w:cs="Times New Roman"/>
          <w:bCs/>
          <w:sz w:val="24"/>
          <w:szCs w:val="24"/>
        </w:rPr>
      </w:pPr>
      <w:r>
        <w:rPr>
          <w:rFonts w:hint="eastAsia" w:ascii="Times New Roman" w:hAnsi="Times New Roman" w:eastAsia="仿宋" w:cs="Times New Roman"/>
          <w:bCs/>
          <w:sz w:val="24"/>
          <w:szCs w:val="24"/>
        </w:rPr>
        <w:t>将三种方法两个季节的细菌总数检测结果绘制箱线图（图1），结果显示：夏、冬季静电场技术检测结果均高于And</w:t>
      </w:r>
      <w:r>
        <w:rPr>
          <w:rFonts w:ascii="Times New Roman" w:hAnsi="Times New Roman" w:eastAsia="仿宋" w:cs="Times New Roman"/>
          <w:bCs/>
          <w:sz w:val="24"/>
          <w:szCs w:val="24"/>
        </w:rPr>
        <w:t>ersen</w:t>
      </w:r>
      <w:r>
        <w:rPr>
          <w:rFonts w:hint="eastAsia" w:ascii="Times New Roman" w:hAnsi="Times New Roman" w:eastAsia="仿宋" w:cs="Times New Roman"/>
          <w:bCs/>
          <w:sz w:val="24"/>
          <w:szCs w:val="24"/>
        </w:rPr>
        <w:t>和沉降法，夏季</w:t>
      </w:r>
      <w:r>
        <w:rPr>
          <w:rFonts w:ascii="Times New Roman" w:hAnsi="Times New Roman" w:eastAsia="仿宋" w:cs="Times New Roman"/>
          <w:bCs/>
          <w:sz w:val="24"/>
          <w:szCs w:val="24"/>
        </w:rPr>
        <w:t>Andersen</w:t>
      </w:r>
      <w:r>
        <w:rPr>
          <w:rFonts w:hint="eastAsia" w:ascii="Times New Roman" w:hAnsi="Times New Roman" w:eastAsia="仿宋" w:cs="Times New Roman"/>
          <w:bCs/>
          <w:sz w:val="24"/>
          <w:szCs w:val="24"/>
        </w:rPr>
        <w:t>结果高于</w:t>
      </w:r>
      <w:r>
        <w:rPr>
          <w:rFonts w:ascii="Times New Roman" w:hAnsi="Times New Roman" w:eastAsia="仿宋" w:cs="Times New Roman"/>
          <w:bCs/>
          <w:sz w:val="24"/>
          <w:szCs w:val="24"/>
        </w:rPr>
        <w:t>沉降法</w:t>
      </w:r>
      <w:r>
        <w:rPr>
          <w:rFonts w:hint="eastAsia" w:ascii="Times New Roman" w:hAnsi="Times New Roman" w:eastAsia="仿宋" w:cs="Times New Roman"/>
          <w:bCs/>
          <w:sz w:val="24"/>
          <w:szCs w:val="24"/>
        </w:rPr>
        <w:t>，冬季沉降法结果高于</w:t>
      </w:r>
      <w:r>
        <w:rPr>
          <w:rFonts w:ascii="Times New Roman" w:hAnsi="Times New Roman" w:eastAsia="仿宋" w:cs="Times New Roman"/>
          <w:bCs/>
          <w:sz w:val="24"/>
          <w:szCs w:val="24"/>
        </w:rPr>
        <w:t>Andersen</w:t>
      </w:r>
      <w:r>
        <w:rPr>
          <w:rFonts w:hint="eastAsia" w:ascii="Times New Roman" w:hAnsi="Times New Roman" w:eastAsia="仿宋" w:cs="Times New Roman"/>
          <w:bCs/>
          <w:sz w:val="24"/>
          <w:szCs w:val="24"/>
        </w:rPr>
        <w:t>。</w:t>
      </w:r>
    </w:p>
    <w:p w14:paraId="70E5A79F">
      <w:pPr>
        <w:widowControl/>
        <w:spacing w:line="240" w:lineRule="auto"/>
        <w:jc w:val="center"/>
        <w:rPr>
          <w:rFonts w:ascii="Times New Roman" w:hAnsi="Times New Roman" w:eastAsia="仿宋" w:cs="Times New Roman"/>
          <w:bCs/>
          <w:sz w:val="24"/>
          <w:szCs w:val="24"/>
        </w:rPr>
      </w:pPr>
      <w:r>
        <w:rPr>
          <w:rFonts w:hint="eastAsia" w:ascii="Times New Roman" w:hAnsi="Times New Roman" w:eastAsia="仿宋" w:cs="Times New Roman"/>
          <w:bCs/>
          <w:sz w:val="24"/>
          <w:szCs w:val="24"/>
        </w:rPr>
        <w:drawing>
          <wp:inline distT="0" distB="0" distL="0" distR="0">
            <wp:extent cx="3399790" cy="2972435"/>
            <wp:effectExtent l="0" t="0" r="13970" b="14605"/>
            <wp:docPr id="20844673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467340" name="图片 1"/>
                    <pic:cNvPicPr>
                      <a:picLocks noChangeAspect="1"/>
                    </pic:cNvPicPr>
                  </pic:nvPicPr>
                  <pic:blipFill>
                    <a:blip r:embed="rId18" cstate="print">
                      <a:extLst>
                        <a:ext uri="{28A0092B-C50C-407E-A947-70E740481C1C}">
                          <a14:useLocalDpi xmlns:a14="http://schemas.microsoft.com/office/drawing/2010/main" val="0"/>
                        </a:ext>
                      </a:extLst>
                    </a:blip>
                    <a:srcRect l="5658" t="9441" r="18335" b="3743"/>
                    <a:stretch>
                      <a:fillRect/>
                    </a:stretch>
                  </pic:blipFill>
                  <pic:spPr>
                    <a:xfrm>
                      <a:off x="0" y="0"/>
                      <a:ext cx="3399790" cy="2972435"/>
                    </a:xfrm>
                    <a:prstGeom prst="rect">
                      <a:avLst/>
                    </a:prstGeom>
                    <a:ln>
                      <a:noFill/>
                    </a:ln>
                  </pic:spPr>
                </pic:pic>
              </a:graphicData>
            </a:graphic>
          </wp:inline>
        </w:drawing>
      </w:r>
    </w:p>
    <w:p w14:paraId="0F959EC7">
      <w:pPr>
        <w:widowControl/>
        <w:spacing w:line="240" w:lineRule="auto"/>
        <w:jc w:val="center"/>
        <w:rPr>
          <w:rFonts w:ascii="Times New Roman" w:hAnsi="Times New Roman" w:eastAsia="仿宋" w:cs="Times New Roman"/>
          <w:bCs/>
          <w:sz w:val="24"/>
          <w:szCs w:val="24"/>
        </w:rPr>
      </w:pPr>
      <w:r>
        <w:rPr>
          <w:rFonts w:hint="eastAsia" w:ascii="Times New Roman" w:hAnsi="Times New Roman" w:eastAsia="仿宋" w:cs="Times New Roman"/>
          <w:bCs/>
          <w:sz w:val="24"/>
          <w:szCs w:val="24"/>
        </w:rPr>
        <w:t>图1 不同方法不同季节细菌总数检测含量</w:t>
      </w:r>
    </w:p>
    <w:p w14:paraId="6A071851">
      <w:pPr>
        <w:pStyle w:val="3"/>
        <w:spacing w:line="240" w:lineRule="auto"/>
        <w:rPr>
          <w:rFonts w:eastAsia="仿宋" w:cs="Times New Roman"/>
          <w:szCs w:val="24"/>
        </w:rPr>
      </w:pPr>
      <w:bookmarkStart w:id="221" w:name="_Toc31178"/>
      <w:bookmarkStart w:id="222" w:name="_Toc188029663"/>
      <w:bookmarkStart w:id="223" w:name="_Toc8034"/>
      <w:r>
        <w:rPr>
          <w:rFonts w:eastAsia="仿宋" w:cs="Times New Roman"/>
          <w:szCs w:val="24"/>
        </w:rPr>
        <w:t>（3）稳定性分析</w:t>
      </w:r>
      <w:r>
        <w:rPr>
          <w:rFonts w:hint="eastAsia" w:eastAsia="仿宋" w:cs="Times New Roman"/>
          <w:szCs w:val="24"/>
        </w:rPr>
        <w:t>（表</w:t>
      </w:r>
      <w:r>
        <w:rPr>
          <w:rFonts w:eastAsia="仿宋" w:cs="Times New Roman"/>
          <w:szCs w:val="24"/>
        </w:rPr>
        <w:t>5</w:t>
      </w:r>
      <w:r>
        <w:rPr>
          <w:rFonts w:hint="eastAsia" w:eastAsia="仿宋" w:cs="Times New Roman"/>
          <w:szCs w:val="24"/>
        </w:rPr>
        <w:t>）</w:t>
      </w:r>
      <w:bookmarkEnd w:id="221"/>
      <w:bookmarkEnd w:id="222"/>
      <w:bookmarkEnd w:id="223"/>
    </w:p>
    <w:p w14:paraId="12AD7DCF">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以参比方法</w:t>
      </w:r>
      <w:r>
        <w:rPr>
          <w:rFonts w:hint="eastAsia" w:ascii="Times New Roman" w:hAnsi="Times New Roman" w:eastAsia="仿宋" w:cs="Times New Roman"/>
          <w:bCs/>
          <w:sz w:val="24"/>
          <w:szCs w:val="24"/>
        </w:rPr>
        <w:t>A</w:t>
      </w:r>
      <w:r>
        <w:rPr>
          <w:rFonts w:ascii="Times New Roman" w:hAnsi="Times New Roman" w:eastAsia="仿宋" w:cs="Times New Roman"/>
          <w:bCs/>
          <w:sz w:val="24"/>
          <w:szCs w:val="24"/>
        </w:rPr>
        <w:t>ndersen</w:t>
      </w:r>
      <w:r>
        <w:rPr>
          <w:rFonts w:hint="eastAsia" w:ascii="Times New Roman" w:hAnsi="Times New Roman" w:eastAsia="仿宋" w:cs="Times New Roman"/>
          <w:bCs/>
          <w:sz w:val="24"/>
          <w:szCs w:val="24"/>
        </w:rPr>
        <w:t>结果作为对照，评价静电场结果的稳定性。</w:t>
      </w:r>
      <w:r>
        <w:rPr>
          <w:rFonts w:hint="eastAsia" w:ascii="Times New Roman" w:hAnsi="Times New Roman" w:eastAsia="仿宋" w:cs="Times New Roman"/>
          <w:sz w:val="24"/>
          <w:szCs w:val="24"/>
        </w:rPr>
        <w:t>评价原则：基于不同采样方法在相同采样条件情景下的样品检测结果</w:t>
      </w:r>
      <w:r>
        <w:rPr>
          <w:rFonts w:hint="eastAsia" w:ascii="Times New Roman" w:hAnsi="Times New Roman" w:eastAsia="仿宋" w:cs="Times New Roman"/>
          <w:bCs/>
          <w:sz w:val="24"/>
          <w:szCs w:val="24"/>
        </w:rPr>
        <w:t>，以参照方法为对照，以</w:t>
      </w:r>
      <w:r>
        <w:rPr>
          <w:rFonts w:hint="eastAsia" w:ascii="Times New Roman" w:hAnsi="Times New Roman" w:eastAsia="仿宋" w:cs="Times New Roman"/>
          <w:sz w:val="24"/>
          <w:szCs w:val="24"/>
        </w:rPr>
        <w:t>相对标准偏差作为技术稳定性衡量指标，来评价每种方法的稳定性。R</w:t>
      </w:r>
      <w:r>
        <w:rPr>
          <w:rFonts w:ascii="Times New Roman" w:hAnsi="Times New Roman" w:eastAsia="仿宋" w:cs="Times New Roman"/>
          <w:sz w:val="24"/>
          <w:szCs w:val="24"/>
        </w:rPr>
        <w:t>SD</w:t>
      </w:r>
      <w:r>
        <w:rPr>
          <w:rFonts w:hint="eastAsia" w:ascii="Times New Roman" w:hAnsi="Times New Roman" w:eastAsia="仿宋" w:cs="Times New Roman"/>
          <w:sz w:val="24"/>
          <w:szCs w:val="24"/>
        </w:rPr>
        <w:t>值越小，表明检测结果稳定性相对较好。</w:t>
      </w:r>
    </w:p>
    <w:p w14:paraId="3C8D4488">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夏季分析结果显示：不同采样时间、地点情景下，静电场采样方法结果的相对标准偏差（</w:t>
      </w:r>
      <w:r>
        <w:rPr>
          <w:rFonts w:ascii="Times New Roman" w:hAnsi="Times New Roman" w:eastAsia="仿宋" w:cs="Times New Roman"/>
          <w:sz w:val="24"/>
          <w:szCs w:val="24"/>
        </w:rPr>
        <w:t>RSD）</w:t>
      </w:r>
      <w:r>
        <w:rPr>
          <w:rFonts w:hint="eastAsia" w:ascii="Times New Roman" w:hAnsi="Times New Roman" w:eastAsia="仿宋" w:cs="Times New Roman"/>
          <w:sz w:val="24"/>
          <w:szCs w:val="24"/>
        </w:rPr>
        <w:t>四</w:t>
      </w:r>
      <w:r>
        <w:rPr>
          <w:rFonts w:ascii="Times New Roman" w:hAnsi="Times New Roman" w:eastAsia="仿宋" w:cs="Times New Roman"/>
          <w:sz w:val="24"/>
          <w:szCs w:val="24"/>
        </w:rPr>
        <w:t>种采样情景下</w:t>
      </w:r>
      <w:r>
        <w:rPr>
          <w:rFonts w:hint="eastAsia" w:ascii="Times New Roman" w:hAnsi="Times New Roman" w:eastAsia="仿宋" w:cs="Times New Roman"/>
          <w:sz w:val="24"/>
          <w:szCs w:val="24"/>
        </w:rPr>
        <w:t>高</w:t>
      </w:r>
      <w:r>
        <w:rPr>
          <w:rFonts w:ascii="Times New Roman" w:hAnsi="Times New Roman" w:eastAsia="仿宋" w:cs="Times New Roman"/>
          <w:sz w:val="24"/>
          <w:szCs w:val="24"/>
        </w:rPr>
        <w:t>于Andersen</w:t>
      </w:r>
      <w:r>
        <w:rPr>
          <w:rFonts w:hint="eastAsia" w:ascii="Times New Roman" w:hAnsi="Times New Roman" w:eastAsia="仿宋" w:cs="Times New Roman"/>
          <w:sz w:val="24"/>
          <w:szCs w:val="24"/>
        </w:rPr>
        <w:t>，另外四种情景下低于</w:t>
      </w:r>
      <w:r>
        <w:rPr>
          <w:rFonts w:ascii="Times New Roman" w:hAnsi="Times New Roman" w:eastAsia="仿宋" w:cs="Times New Roman"/>
          <w:sz w:val="24"/>
          <w:szCs w:val="24"/>
        </w:rPr>
        <w:t>Andersen。</w:t>
      </w:r>
      <w:r>
        <w:rPr>
          <w:rFonts w:hint="eastAsia" w:ascii="Times New Roman" w:hAnsi="Times New Roman" w:eastAsia="仿宋" w:cs="Times New Roman"/>
          <w:sz w:val="24"/>
          <w:szCs w:val="24"/>
        </w:rPr>
        <w:t>八种情景（时间</w:t>
      </w:r>
      <w:r>
        <w:rPr>
          <w:rFonts w:ascii="Times New Roman" w:hAnsi="Times New Roman" w:eastAsia="仿宋" w:cs="Times New Roman"/>
          <w:sz w:val="24"/>
          <w:szCs w:val="24"/>
        </w:rPr>
        <w:t>-位置）下静电场采集技术的微生物检测结果平均RSD为60.06%，</w:t>
      </w:r>
      <w:r>
        <w:rPr>
          <w:rFonts w:hint="eastAsia" w:ascii="Times New Roman" w:hAnsi="Times New Roman" w:eastAsia="仿宋" w:cs="Times New Roman"/>
          <w:sz w:val="24"/>
          <w:szCs w:val="24"/>
        </w:rPr>
        <w:t>稍低于</w:t>
      </w:r>
      <w:r>
        <w:rPr>
          <w:rFonts w:ascii="Times New Roman" w:hAnsi="Times New Roman" w:eastAsia="仿宋" w:cs="Times New Roman"/>
          <w:sz w:val="24"/>
          <w:szCs w:val="24"/>
        </w:rPr>
        <w:t>Andersen平均RSD 61.60%。</w:t>
      </w:r>
      <w:r>
        <w:rPr>
          <w:rFonts w:hint="eastAsia" w:ascii="Times New Roman" w:hAnsi="Times New Roman" w:eastAsia="仿宋" w:cs="Times New Roman"/>
          <w:sz w:val="24"/>
          <w:szCs w:val="24"/>
        </w:rPr>
        <w:t>同等时空条件下的</w:t>
      </w:r>
      <w:r>
        <w:rPr>
          <w:rFonts w:ascii="Times New Roman" w:hAnsi="Times New Roman" w:eastAsia="仿宋" w:cs="Times New Roman"/>
          <w:sz w:val="24"/>
          <w:szCs w:val="24"/>
        </w:rPr>
        <w:t>8个批次的同步采样检测结果RSD显示，静电场采样方法结果的稳定性4次高于Andersen采样方法结果，4次低于Andersen采样方法结果。结果提示，</w:t>
      </w:r>
      <w:r>
        <w:rPr>
          <w:rFonts w:ascii="Times New Roman" w:hAnsi="Times New Roman" w:eastAsia="仿宋" w:cs="Times New Roman"/>
          <w:b/>
          <w:bCs/>
          <w:sz w:val="24"/>
          <w:szCs w:val="24"/>
        </w:rPr>
        <w:t>静电场采样方法的稳定性与Andersen采样方法基本相当。</w:t>
      </w:r>
    </w:p>
    <w:p w14:paraId="2E45B515">
      <w:pPr>
        <w:widowControl/>
        <w:spacing w:line="240" w:lineRule="auto"/>
        <w:ind w:firstLine="482" w:firstLineChars="200"/>
        <w:jc w:val="left"/>
        <w:rPr>
          <w:rFonts w:ascii="Times New Roman" w:hAnsi="Times New Roman" w:eastAsia="仿宋" w:cs="Times New Roman"/>
          <w:b/>
          <w:sz w:val="24"/>
          <w:szCs w:val="24"/>
        </w:rPr>
        <w:sectPr>
          <w:footerReference r:id="rId15" w:type="default"/>
          <w:footnotePr>
            <w:numFmt w:val="decimal"/>
          </w:footnotePr>
          <w:pgSz w:w="11906" w:h="16838"/>
          <w:pgMar w:top="1440" w:right="1800" w:bottom="1440" w:left="1800" w:header="851" w:footer="992" w:gutter="0"/>
          <w:pgNumType w:start="1"/>
          <w:cols w:space="425" w:num="1"/>
          <w:docGrid w:type="lines" w:linePitch="312" w:charSpace="0"/>
        </w:sectPr>
      </w:pPr>
    </w:p>
    <w:p w14:paraId="2AA2DEE1">
      <w:pPr>
        <w:widowControl/>
        <w:spacing w:line="240" w:lineRule="auto"/>
        <w:jc w:val="center"/>
        <w:rPr>
          <w:rFonts w:ascii="Times New Roman" w:hAnsi="Times New Roman" w:eastAsia="仿宋" w:cs="Times New Roman"/>
          <w:sz w:val="24"/>
          <w:szCs w:val="24"/>
        </w:rPr>
      </w:pPr>
      <w:r>
        <w:rPr>
          <w:rFonts w:hint="eastAsia" w:ascii="Times New Roman" w:hAnsi="Times New Roman" w:eastAsia="仿宋" w:cs="Times New Roman"/>
          <w:sz w:val="24"/>
          <w:szCs w:val="24"/>
        </w:rPr>
        <w:t>表</w:t>
      </w:r>
      <w:r>
        <w:rPr>
          <w:rFonts w:ascii="Times New Roman" w:hAnsi="Times New Roman" w:eastAsia="仿宋" w:cs="Times New Roman"/>
          <w:sz w:val="24"/>
          <w:szCs w:val="24"/>
        </w:rPr>
        <w:t xml:space="preserve">4  </w:t>
      </w:r>
      <w:r>
        <w:rPr>
          <w:rFonts w:hint="eastAsia" w:ascii="Times New Roman" w:hAnsi="Times New Roman" w:eastAsia="仿宋" w:cs="Times New Roman"/>
          <w:sz w:val="24"/>
          <w:szCs w:val="24"/>
        </w:rPr>
        <w:t>两季静电场技术准确性分析结果（以</w:t>
      </w:r>
      <w:r>
        <w:rPr>
          <w:rFonts w:ascii="Times New Roman" w:hAnsi="Times New Roman" w:eastAsia="仿宋" w:cs="Times New Roman"/>
          <w:sz w:val="24"/>
          <w:szCs w:val="24"/>
        </w:rPr>
        <w:t>Andersen</w:t>
      </w:r>
      <w:r>
        <w:rPr>
          <w:rFonts w:hint="eastAsia" w:ascii="Times New Roman" w:hAnsi="Times New Roman" w:eastAsia="仿宋" w:cs="Times New Roman"/>
          <w:sz w:val="24"/>
          <w:szCs w:val="24"/>
        </w:rPr>
        <w:t>和自然沉降法</w:t>
      </w:r>
      <w:r>
        <w:rPr>
          <w:rFonts w:ascii="Times New Roman" w:hAnsi="Times New Roman" w:eastAsia="仿宋" w:cs="Times New Roman"/>
          <w:sz w:val="24"/>
          <w:szCs w:val="24"/>
        </w:rPr>
        <w:t>为参比方法）</w:t>
      </w:r>
    </w:p>
    <w:tbl>
      <w:tblPr>
        <w:tblStyle w:val="26"/>
        <w:tblW w:w="5029" w:type="pct"/>
        <w:tblInd w:w="0" w:type="dxa"/>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autofit"/>
        <w:tblCellMar>
          <w:top w:w="0" w:type="dxa"/>
          <w:left w:w="28" w:type="dxa"/>
          <w:bottom w:w="0" w:type="dxa"/>
          <w:right w:w="28" w:type="dxa"/>
        </w:tblCellMar>
      </w:tblPr>
      <w:tblGrid>
        <w:gridCol w:w="713"/>
        <w:gridCol w:w="713"/>
        <w:gridCol w:w="851"/>
        <w:gridCol w:w="854"/>
        <w:gridCol w:w="1708"/>
        <w:gridCol w:w="76"/>
        <w:gridCol w:w="919"/>
        <w:gridCol w:w="1841"/>
        <w:gridCol w:w="65"/>
        <w:gridCol w:w="806"/>
        <w:gridCol w:w="1753"/>
        <w:gridCol w:w="138"/>
        <w:gridCol w:w="1009"/>
        <w:gridCol w:w="803"/>
        <w:gridCol w:w="144"/>
        <w:gridCol w:w="903"/>
        <w:gridCol w:w="799"/>
      </w:tblGrid>
      <w:tr w14:paraId="115257DA">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97" w:hRule="atLeast"/>
        </w:trPr>
        <w:tc>
          <w:tcPr>
            <w:tcW w:w="253" w:type="pct"/>
            <w:vMerge w:val="restart"/>
            <w:tcBorders>
              <w:top w:val="single" w:color="auto" w:sz="8" w:space="0"/>
              <w:left w:val="nil"/>
              <w:bottom w:val="single" w:color="auto" w:sz="4" w:space="0"/>
              <w:right w:val="nil"/>
            </w:tcBorders>
            <w:vAlign w:val="center"/>
          </w:tcPr>
          <w:p w14:paraId="454D39F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季节</w:t>
            </w:r>
          </w:p>
        </w:tc>
        <w:tc>
          <w:tcPr>
            <w:tcW w:w="253" w:type="pct"/>
            <w:vMerge w:val="restart"/>
            <w:tcBorders>
              <w:top w:val="single" w:color="auto" w:sz="8" w:space="0"/>
              <w:left w:val="nil"/>
              <w:bottom w:val="single" w:color="auto" w:sz="4" w:space="0"/>
              <w:right w:val="nil"/>
            </w:tcBorders>
            <w:vAlign w:val="center"/>
          </w:tcPr>
          <w:p w14:paraId="3EB5F64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采样时间</w:t>
            </w:r>
          </w:p>
        </w:tc>
        <w:tc>
          <w:tcPr>
            <w:tcW w:w="302" w:type="pct"/>
            <w:vMerge w:val="restart"/>
            <w:tcBorders>
              <w:top w:val="single" w:color="auto" w:sz="8" w:space="0"/>
              <w:left w:val="nil"/>
              <w:bottom w:val="nil"/>
              <w:right w:val="nil"/>
            </w:tcBorders>
            <w:vAlign w:val="center"/>
          </w:tcPr>
          <w:p w14:paraId="65B6B09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采样</w:t>
            </w:r>
          </w:p>
          <w:p w14:paraId="2CA0F7F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位置</w:t>
            </w:r>
          </w:p>
        </w:tc>
        <w:tc>
          <w:tcPr>
            <w:tcW w:w="909" w:type="pct"/>
            <w:gridSpan w:val="2"/>
            <w:tcBorders>
              <w:top w:val="single" w:color="auto" w:sz="8" w:space="0"/>
              <w:left w:val="nil"/>
              <w:bottom w:val="single" w:color="auto" w:sz="6" w:space="0"/>
              <w:right w:val="nil"/>
            </w:tcBorders>
            <w:vAlign w:val="center"/>
          </w:tcPr>
          <w:p w14:paraId="3656265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静电场</w:t>
            </w:r>
          </w:p>
        </w:tc>
        <w:tc>
          <w:tcPr>
            <w:tcW w:w="27" w:type="pct"/>
            <w:tcBorders>
              <w:top w:val="single" w:color="auto" w:sz="8" w:space="0"/>
              <w:left w:val="nil"/>
              <w:bottom w:val="nil"/>
              <w:right w:val="nil"/>
            </w:tcBorders>
            <w:vAlign w:val="center"/>
          </w:tcPr>
          <w:p w14:paraId="2209760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p>
        </w:tc>
        <w:tc>
          <w:tcPr>
            <w:tcW w:w="979" w:type="pct"/>
            <w:gridSpan w:val="2"/>
            <w:tcBorders>
              <w:top w:val="single" w:color="auto" w:sz="8" w:space="0"/>
              <w:left w:val="nil"/>
              <w:bottom w:val="single" w:color="auto" w:sz="6" w:space="0"/>
              <w:right w:val="nil"/>
            </w:tcBorders>
            <w:vAlign w:val="center"/>
          </w:tcPr>
          <w:p w14:paraId="6001BAA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Andersen</w:t>
            </w:r>
          </w:p>
        </w:tc>
        <w:tc>
          <w:tcPr>
            <w:tcW w:w="23" w:type="pct"/>
            <w:tcBorders>
              <w:top w:val="single" w:color="auto" w:sz="8" w:space="0"/>
              <w:left w:val="nil"/>
              <w:bottom w:val="nil"/>
              <w:right w:val="nil"/>
            </w:tcBorders>
            <w:vAlign w:val="center"/>
          </w:tcPr>
          <w:p w14:paraId="3D62061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p>
        </w:tc>
        <w:tc>
          <w:tcPr>
            <w:tcW w:w="908" w:type="pct"/>
            <w:gridSpan w:val="2"/>
            <w:tcBorders>
              <w:top w:val="single" w:color="auto" w:sz="8" w:space="0"/>
              <w:left w:val="nil"/>
              <w:bottom w:val="single" w:color="auto" w:sz="6" w:space="0"/>
              <w:right w:val="nil"/>
            </w:tcBorders>
            <w:vAlign w:val="center"/>
          </w:tcPr>
          <w:p w14:paraId="7490520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自然沉降法</w:t>
            </w:r>
          </w:p>
        </w:tc>
        <w:tc>
          <w:tcPr>
            <w:tcW w:w="49" w:type="pct"/>
            <w:tcBorders>
              <w:top w:val="single" w:color="auto" w:sz="8" w:space="0"/>
              <w:left w:val="nil"/>
              <w:bottom w:val="nil"/>
              <w:right w:val="nil"/>
            </w:tcBorders>
            <w:vAlign w:val="center"/>
          </w:tcPr>
          <w:p w14:paraId="5FA7E72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p>
        </w:tc>
        <w:tc>
          <w:tcPr>
            <w:tcW w:w="643" w:type="pct"/>
            <w:gridSpan w:val="2"/>
            <w:tcBorders>
              <w:top w:val="single" w:color="auto" w:sz="8" w:space="0"/>
              <w:left w:val="nil"/>
              <w:bottom w:val="single" w:color="auto" w:sz="6" w:space="0"/>
              <w:right w:val="nil"/>
            </w:tcBorders>
            <w:vAlign w:val="center"/>
          </w:tcPr>
          <w:p w14:paraId="475BB2E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与Andersen比</w:t>
            </w:r>
          </w:p>
        </w:tc>
        <w:tc>
          <w:tcPr>
            <w:tcW w:w="51" w:type="pct"/>
            <w:tcBorders>
              <w:top w:val="single" w:color="auto" w:sz="8" w:space="0"/>
              <w:left w:val="nil"/>
              <w:bottom w:val="nil"/>
              <w:right w:val="nil"/>
            </w:tcBorders>
            <w:vAlign w:val="center"/>
          </w:tcPr>
          <w:p w14:paraId="23EA81A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p>
        </w:tc>
        <w:tc>
          <w:tcPr>
            <w:tcW w:w="603" w:type="pct"/>
            <w:gridSpan w:val="2"/>
            <w:tcBorders>
              <w:top w:val="single" w:color="auto" w:sz="8" w:space="0"/>
              <w:left w:val="nil"/>
              <w:bottom w:val="single" w:color="auto" w:sz="6" w:space="0"/>
              <w:right w:val="nil"/>
            </w:tcBorders>
            <w:vAlign w:val="center"/>
          </w:tcPr>
          <w:p w14:paraId="767C158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与自然沉降法比</w:t>
            </w:r>
          </w:p>
        </w:tc>
      </w:tr>
      <w:tr w14:paraId="741FD72D">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97" w:hRule="atLeast"/>
        </w:trPr>
        <w:tc>
          <w:tcPr>
            <w:tcW w:w="253" w:type="pct"/>
            <w:vMerge w:val="continue"/>
            <w:tcBorders>
              <w:top w:val="single" w:color="auto" w:sz="8" w:space="0"/>
              <w:left w:val="nil"/>
              <w:bottom w:val="single" w:color="auto" w:sz="4" w:space="0"/>
              <w:right w:val="nil"/>
            </w:tcBorders>
            <w:vAlign w:val="center"/>
          </w:tcPr>
          <w:p w14:paraId="1F00F314">
            <w:pPr>
              <w:keepNext w:val="0"/>
              <w:keepLines w:val="0"/>
              <w:widowControl/>
              <w:suppressLineNumbers w:val="0"/>
              <w:spacing w:before="0" w:beforeAutospacing="0" w:after="0" w:afterAutospacing="0" w:line="240" w:lineRule="auto"/>
              <w:ind w:left="0" w:right="0"/>
              <w:jc w:val="left"/>
              <w:rPr>
                <w:rFonts w:hint="default" w:ascii="Times New Roman" w:hAnsi="Times New Roman" w:eastAsia="仿宋" w:cs="Times New Roman"/>
                <w:kern w:val="0"/>
                <w:sz w:val="22"/>
                <w:szCs w:val="24"/>
              </w:rPr>
            </w:pPr>
          </w:p>
        </w:tc>
        <w:tc>
          <w:tcPr>
            <w:tcW w:w="253" w:type="pct"/>
            <w:vMerge w:val="continue"/>
            <w:tcBorders>
              <w:top w:val="single" w:color="auto" w:sz="8" w:space="0"/>
              <w:left w:val="nil"/>
              <w:bottom w:val="single" w:color="auto" w:sz="4" w:space="0"/>
              <w:right w:val="nil"/>
            </w:tcBorders>
            <w:vAlign w:val="center"/>
          </w:tcPr>
          <w:p w14:paraId="027A188A">
            <w:pPr>
              <w:keepNext w:val="0"/>
              <w:keepLines w:val="0"/>
              <w:widowControl/>
              <w:suppressLineNumbers w:val="0"/>
              <w:spacing w:before="0" w:beforeAutospacing="0" w:after="0" w:afterAutospacing="0" w:line="240" w:lineRule="auto"/>
              <w:ind w:left="0" w:right="0"/>
              <w:jc w:val="left"/>
              <w:rPr>
                <w:rFonts w:hint="default" w:ascii="Times New Roman" w:hAnsi="Times New Roman" w:eastAsia="仿宋" w:cs="Times New Roman"/>
                <w:kern w:val="0"/>
                <w:sz w:val="22"/>
                <w:szCs w:val="24"/>
              </w:rPr>
            </w:pPr>
          </w:p>
        </w:tc>
        <w:tc>
          <w:tcPr>
            <w:tcW w:w="302" w:type="pct"/>
            <w:vMerge w:val="continue"/>
            <w:tcBorders>
              <w:top w:val="single" w:color="auto" w:sz="8" w:space="0"/>
              <w:left w:val="nil"/>
              <w:bottom w:val="nil"/>
              <w:right w:val="nil"/>
            </w:tcBorders>
            <w:vAlign w:val="center"/>
          </w:tcPr>
          <w:p w14:paraId="210C2A8B">
            <w:pPr>
              <w:keepNext w:val="0"/>
              <w:keepLines w:val="0"/>
              <w:widowControl/>
              <w:suppressLineNumbers w:val="0"/>
              <w:spacing w:before="0" w:beforeAutospacing="0" w:after="0" w:afterAutospacing="0" w:line="240" w:lineRule="auto"/>
              <w:ind w:left="0" w:right="0"/>
              <w:jc w:val="left"/>
              <w:rPr>
                <w:rFonts w:hint="default" w:ascii="Times New Roman" w:hAnsi="Times New Roman" w:eastAsia="仿宋" w:cs="Times New Roman"/>
                <w:kern w:val="0"/>
                <w:sz w:val="22"/>
                <w:szCs w:val="24"/>
              </w:rPr>
            </w:pPr>
          </w:p>
        </w:tc>
        <w:tc>
          <w:tcPr>
            <w:tcW w:w="303" w:type="pct"/>
            <w:tcBorders>
              <w:top w:val="single" w:color="auto" w:sz="6" w:space="0"/>
              <w:left w:val="nil"/>
              <w:bottom w:val="single" w:color="auto" w:sz="6" w:space="0"/>
              <w:right w:val="nil"/>
            </w:tcBorders>
            <w:vAlign w:val="center"/>
          </w:tcPr>
          <w:p w14:paraId="6AC8EA1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样本量</w:t>
            </w:r>
          </w:p>
        </w:tc>
        <w:tc>
          <w:tcPr>
            <w:tcW w:w="606" w:type="pct"/>
            <w:tcBorders>
              <w:top w:val="single" w:color="auto" w:sz="6" w:space="0"/>
              <w:left w:val="nil"/>
              <w:bottom w:val="single" w:color="auto" w:sz="6" w:space="0"/>
              <w:right w:val="nil"/>
            </w:tcBorders>
            <w:vAlign w:val="center"/>
          </w:tcPr>
          <w:p w14:paraId="38CA66A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平均值±标准差（CFU/m</w:t>
            </w:r>
            <w:r>
              <w:rPr>
                <w:rFonts w:hint="default" w:ascii="Times New Roman" w:hAnsi="Times New Roman" w:eastAsia="仿宋" w:cs="Times New Roman"/>
                <w:kern w:val="0"/>
                <w:sz w:val="22"/>
                <w:szCs w:val="24"/>
                <w:vertAlign w:val="superscript"/>
              </w:rPr>
              <w:t>3</w:t>
            </w:r>
            <w:r>
              <w:rPr>
                <w:rFonts w:hint="default" w:ascii="Times New Roman" w:hAnsi="Times New Roman" w:eastAsia="仿宋" w:cs="Times New Roman"/>
                <w:kern w:val="0"/>
                <w:sz w:val="22"/>
                <w:szCs w:val="24"/>
              </w:rPr>
              <w:t>）</w:t>
            </w:r>
          </w:p>
        </w:tc>
        <w:tc>
          <w:tcPr>
            <w:tcW w:w="27" w:type="pct"/>
            <w:tcBorders>
              <w:top w:val="nil"/>
              <w:left w:val="nil"/>
              <w:bottom w:val="single" w:color="auto" w:sz="6" w:space="0"/>
              <w:right w:val="nil"/>
            </w:tcBorders>
            <w:vAlign w:val="center"/>
          </w:tcPr>
          <w:p w14:paraId="47D0E1E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p>
        </w:tc>
        <w:tc>
          <w:tcPr>
            <w:tcW w:w="326" w:type="pct"/>
            <w:tcBorders>
              <w:top w:val="single" w:color="auto" w:sz="6" w:space="0"/>
              <w:left w:val="nil"/>
              <w:bottom w:val="single" w:color="auto" w:sz="6" w:space="0"/>
              <w:right w:val="nil"/>
            </w:tcBorders>
            <w:vAlign w:val="center"/>
          </w:tcPr>
          <w:p w14:paraId="3377D8A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样本量</w:t>
            </w:r>
          </w:p>
        </w:tc>
        <w:tc>
          <w:tcPr>
            <w:tcW w:w="653" w:type="pct"/>
            <w:tcBorders>
              <w:top w:val="single" w:color="auto" w:sz="6" w:space="0"/>
              <w:left w:val="nil"/>
              <w:bottom w:val="single" w:color="auto" w:sz="6" w:space="0"/>
              <w:right w:val="nil"/>
            </w:tcBorders>
            <w:vAlign w:val="center"/>
          </w:tcPr>
          <w:p w14:paraId="17BE4D5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平均值±标准差（CFU/m</w:t>
            </w:r>
            <w:r>
              <w:rPr>
                <w:rFonts w:hint="default" w:ascii="Times New Roman" w:hAnsi="Times New Roman" w:eastAsia="仿宋" w:cs="Times New Roman"/>
                <w:kern w:val="0"/>
                <w:sz w:val="22"/>
                <w:szCs w:val="24"/>
                <w:vertAlign w:val="superscript"/>
              </w:rPr>
              <w:t>3</w:t>
            </w:r>
            <w:r>
              <w:rPr>
                <w:rFonts w:hint="default" w:ascii="Times New Roman" w:hAnsi="Times New Roman" w:eastAsia="仿宋" w:cs="Times New Roman"/>
                <w:kern w:val="0"/>
                <w:sz w:val="22"/>
                <w:szCs w:val="24"/>
              </w:rPr>
              <w:t>）</w:t>
            </w:r>
          </w:p>
        </w:tc>
        <w:tc>
          <w:tcPr>
            <w:tcW w:w="23" w:type="pct"/>
            <w:tcBorders>
              <w:top w:val="nil"/>
              <w:left w:val="nil"/>
              <w:bottom w:val="single" w:color="auto" w:sz="6" w:space="0"/>
              <w:right w:val="nil"/>
            </w:tcBorders>
            <w:vAlign w:val="center"/>
          </w:tcPr>
          <w:p w14:paraId="7AA8D21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p>
        </w:tc>
        <w:tc>
          <w:tcPr>
            <w:tcW w:w="286" w:type="pct"/>
            <w:tcBorders>
              <w:top w:val="single" w:color="auto" w:sz="6" w:space="0"/>
              <w:left w:val="nil"/>
              <w:bottom w:val="single" w:color="auto" w:sz="6" w:space="0"/>
              <w:right w:val="nil"/>
            </w:tcBorders>
            <w:vAlign w:val="center"/>
          </w:tcPr>
          <w:p w14:paraId="398FFED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样本量</w:t>
            </w:r>
          </w:p>
        </w:tc>
        <w:tc>
          <w:tcPr>
            <w:tcW w:w="622" w:type="pct"/>
            <w:tcBorders>
              <w:top w:val="single" w:color="auto" w:sz="6" w:space="0"/>
              <w:left w:val="nil"/>
              <w:bottom w:val="single" w:color="auto" w:sz="6" w:space="0"/>
              <w:right w:val="nil"/>
            </w:tcBorders>
            <w:vAlign w:val="center"/>
          </w:tcPr>
          <w:p w14:paraId="6430532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平均值±标准差（CFU/m</w:t>
            </w:r>
            <w:r>
              <w:rPr>
                <w:rFonts w:hint="default" w:ascii="Times New Roman" w:hAnsi="Times New Roman" w:eastAsia="仿宋" w:cs="Times New Roman"/>
                <w:kern w:val="0"/>
                <w:sz w:val="22"/>
                <w:szCs w:val="24"/>
                <w:vertAlign w:val="superscript"/>
              </w:rPr>
              <w:t>3</w:t>
            </w:r>
            <w:r>
              <w:rPr>
                <w:rFonts w:hint="default" w:ascii="Times New Roman" w:hAnsi="Times New Roman" w:eastAsia="仿宋" w:cs="Times New Roman"/>
                <w:kern w:val="0"/>
                <w:sz w:val="22"/>
                <w:szCs w:val="24"/>
              </w:rPr>
              <w:t>）</w:t>
            </w:r>
          </w:p>
        </w:tc>
        <w:tc>
          <w:tcPr>
            <w:tcW w:w="49" w:type="pct"/>
            <w:tcBorders>
              <w:top w:val="nil"/>
              <w:left w:val="nil"/>
              <w:bottom w:val="single" w:color="auto" w:sz="6" w:space="0"/>
              <w:right w:val="nil"/>
            </w:tcBorders>
            <w:vAlign w:val="center"/>
          </w:tcPr>
          <w:p w14:paraId="2CF2B8D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p>
        </w:tc>
        <w:tc>
          <w:tcPr>
            <w:tcW w:w="358" w:type="pct"/>
            <w:tcBorders>
              <w:top w:val="single" w:color="auto" w:sz="6" w:space="0"/>
              <w:left w:val="nil"/>
              <w:bottom w:val="single" w:color="auto" w:sz="6" w:space="0"/>
              <w:right w:val="nil"/>
            </w:tcBorders>
            <w:vAlign w:val="center"/>
          </w:tcPr>
          <w:p w14:paraId="76AACAE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差值</w:t>
            </w:r>
          </w:p>
        </w:tc>
        <w:tc>
          <w:tcPr>
            <w:tcW w:w="285" w:type="pct"/>
            <w:tcBorders>
              <w:top w:val="single" w:color="auto" w:sz="6" w:space="0"/>
              <w:left w:val="nil"/>
              <w:bottom w:val="single" w:color="auto" w:sz="6" w:space="0"/>
              <w:right w:val="nil"/>
            </w:tcBorders>
            <w:vAlign w:val="center"/>
          </w:tcPr>
          <w:p w14:paraId="1135F65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倍数</w:t>
            </w:r>
          </w:p>
        </w:tc>
        <w:tc>
          <w:tcPr>
            <w:tcW w:w="51" w:type="pct"/>
            <w:tcBorders>
              <w:top w:val="nil"/>
              <w:left w:val="nil"/>
              <w:bottom w:val="single" w:color="auto" w:sz="6" w:space="0"/>
              <w:right w:val="nil"/>
            </w:tcBorders>
            <w:vAlign w:val="center"/>
          </w:tcPr>
          <w:p w14:paraId="5E38A1A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p>
        </w:tc>
        <w:tc>
          <w:tcPr>
            <w:tcW w:w="320" w:type="pct"/>
            <w:tcBorders>
              <w:top w:val="single" w:color="auto" w:sz="6" w:space="0"/>
              <w:left w:val="nil"/>
              <w:bottom w:val="single" w:color="auto" w:sz="6" w:space="0"/>
              <w:right w:val="nil"/>
            </w:tcBorders>
            <w:vAlign w:val="center"/>
          </w:tcPr>
          <w:p w14:paraId="3D9E5E0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差值</w:t>
            </w:r>
          </w:p>
        </w:tc>
        <w:tc>
          <w:tcPr>
            <w:tcW w:w="283" w:type="pct"/>
            <w:tcBorders>
              <w:top w:val="single" w:color="auto" w:sz="6" w:space="0"/>
              <w:left w:val="nil"/>
              <w:bottom w:val="single" w:color="auto" w:sz="6" w:space="0"/>
              <w:right w:val="nil"/>
            </w:tcBorders>
            <w:vAlign w:val="center"/>
          </w:tcPr>
          <w:p w14:paraId="7F8A34F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倍数</w:t>
            </w:r>
          </w:p>
        </w:tc>
      </w:tr>
      <w:tr w14:paraId="4550F523">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97" w:hRule="atLeast"/>
        </w:trPr>
        <w:tc>
          <w:tcPr>
            <w:tcW w:w="253" w:type="pct"/>
            <w:vMerge w:val="restart"/>
            <w:tcBorders>
              <w:top w:val="single" w:color="auto" w:sz="4" w:space="0"/>
              <w:left w:val="nil"/>
              <w:right w:val="nil"/>
            </w:tcBorders>
            <w:vAlign w:val="center"/>
          </w:tcPr>
          <w:p w14:paraId="048ED09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eastAsia" w:ascii="Times New Roman" w:hAnsi="Times New Roman" w:eastAsia="仿宋" w:cs="Times New Roman"/>
                <w:kern w:val="0"/>
                <w:sz w:val="22"/>
                <w:szCs w:val="24"/>
              </w:rPr>
              <w:t>夏季</w:t>
            </w:r>
          </w:p>
        </w:tc>
        <w:tc>
          <w:tcPr>
            <w:tcW w:w="253" w:type="pct"/>
            <w:vMerge w:val="restart"/>
            <w:tcBorders>
              <w:top w:val="single" w:color="auto" w:sz="4" w:space="0"/>
              <w:left w:val="nil"/>
              <w:right w:val="nil"/>
            </w:tcBorders>
            <w:vAlign w:val="center"/>
          </w:tcPr>
          <w:p w14:paraId="75E3D77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eastAsia" w:ascii="Times New Roman" w:hAnsi="Times New Roman" w:eastAsia="仿宋" w:cs="Times New Roman"/>
                <w:kern w:val="0"/>
                <w:sz w:val="22"/>
                <w:szCs w:val="24"/>
              </w:rPr>
              <w:t>上午</w:t>
            </w:r>
          </w:p>
        </w:tc>
        <w:tc>
          <w:tcPr>
            <w:tcW w:w="302" w:type="pct"/>
            <w:tcBorders>
              <w:top w:val="single" w:color="auto" w:sz="6" w:space="0"/>
              <w:left w:val="nil"/>
              <w:bottom w:val="nil"/>
              <w:right w:val="nil"/>
            </w:tcBorders>
            <w:vAlign w:val="center"/>
          </w:tcPr>
          <w:p w14:paraId="40CEB29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eastAsia" w:ascii="Times New Roman" w:hAnsi="Times New Roman" w:eastAsia="仿宋" w:cs="Times New Roman"/>
                <w:kern w:val="0"/>
                <w:sz w:val="22"/>
                <w:szCs w:val="24"/>
              </w:rPr>
              <w:t>站厅</w:t>
            </w:r>
          </w:p>
        </w:tc>
        <w:tc>
          <w:tcPr>
            <w:tcW w:w="303" w:type="pct"/>
            <w:tcBorders>
              <w:top w:val="single" w:color="auto" w:sz="6" w:space="0"/>
              <w:left w:val="nil"/>
              <w:bottom w:val="nil"/>
              <w:right w:val="nil"/>
            </w:tcBorders>
            <w:vAlign w:val="center"/>
          </w:tcPr>
          <w:p w14:paraId="54A5751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bCs/>
                <w:kern w:val="0"/>
                <w:sz w:val="22"/>
                <w:szCs w:val="24"/>
              </w:rPr>
            </w:pPr>
            <w:r>
              <w:rPr>
                <w:rFonts w:hint="eastAsia" w:ascii="Times New Roman" w:hAnsi="Times New Roman" w:eastAsia="仿宋" w:cs="Times New Roman"/>
                <w:bCs/>
                <w:kern w:val="0"/>
                <w:sz w:val="22"/>
                <w:szCs w:val="24"/>
              </w:rPr>
              <w:t>2</w:t>
            </w:r>
            <w:r>
              <w:rPr>
                <w:rFonts w:hint="default" w:ascii="Times New Roman" w:hAnsi="Times New Roman" w:eastAsia="仿宋" w:cs="Times New Roman"/>
                <w:bCs/>
                <w:kern w:val="0"/>
                <w:sz w:val="22"/>
                <w:szCs w:val="24"/>
              </w:rPr>
              <w:t>0</w:t>
            </w:r>
          </w:p>
        </w:tc>
        <w:tc>
          <w:tcPr>
            <w:tcW w:w="606" w:type="pct"/>
            <w:tcBorders>
              <w:top w:val="single" w:color="auto" w:sz="6" w:space="0"/>
              <w:left w:val="nil"/>
              <w:bottom w:val="nil"/>
              <w:right w:val="nil"/>
            </w:tcBorders>
            <w:vAlign w:val="center"/>
          </w:tcPr>
          <w:p w14:paraId="6A88C17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7</w:t>
            </w:r>
            <w:r>
              <w:rPr>
                <w:rFonts w:hint="default" w:ascii="Times New Roman" w:hAnsi="Times New Roman" w:eastAsia="仿宋" w:cs="Times New Roman"/>
                <w:color w:val="000000"/>
                <w:kern w:val="0"/>
                <w:sz w:val="22"/>
                <w:szCs w:val="24"/>
              </w:rPr>
              <w:t>689.00</w:t>
            </w:r>
            <w:r>
              <w:rPr>
                <w:rFonts w:hint="default" w:ascii="Times New Roman" w:hAnsi="Times New Roman" w:eastAsia="仿宋" w:cs="Times New Roman"/>
                <w:kern w:val="0"/>
                <w:sz w:val="22"/>
                <w:szCs w:val="24"/>
              </w:rPr>
              <w:t>±2257.65</w:t>
            </w:r>
          </w:p>
        </w:tc>
        <w:tc>
          <w:tcPr>
            <w:tcW w:w="27" w:type="pct"/>
            <w:tcBorders>
              <w:top w:val="single" w:color="auto" w:sz="6" w:space="0"/>
              <w:left w:val="nil"/>
              <w:bottom w:val="nil"/>
              <w:right w:val="nil"/>
            </w:tcBorders>
            <w:vAlign w:val="center"/>
          </w:tcPr>
          <w:p w14:paraId="1B7336E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6" w:type="pct"/>
            <w:tcBorders>
              <w:top w:val="single" w:color="auto" w:sz="6" w:space="0"/>
              <w:left w:val="nil"/>
              <w:bottom w:val="nil"/>
              <w:right w:val="nil"/>
            </w:tcBorders>
            <w:vAlign w:val="center"/>
          </w:tcPr>
          <w:p w14:paraId="2E0EA7C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2</w:t>
            </w:r>
            <w:r>
              <w:rPr>
                <w:rFonts w:hint="default" w:ascii="Times New Roman" w:hAnsi="Times New Roman" w:eastAsia="仿宋" w:cs="Times New Roman"/>
                <w:color w:val="000000"/>
                <w:kern w:val="0"/>
                <w:sz w:val="22"/>
                <w:szCs w:val="24"/>
              </w:rPr>
              <w:t>0</w:t>
            </w:r>
          </w:p>
        </w:tc>
        <w:tc>
          <w:tcPr>
            <w:tcW w:w="653" w:type="pct"/>
            <w:tcBorders>
              <w:top w:val="single" w:color="auto" w:sz="6" w:space="0"/>
              <w:left w:val="nil"/>
              <w:bottom w:val="nil"/>
              <w:right w:val="nil"/>
            </w:tcBorders>
            <w:vAlign w:val="center"/>
          </w:tcPr>
          <w:p w14:paraId="0347E91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1</w:t>
            </w:r>
            <w:r>
              <w:rPr>
                <w:rFonts w:hint="default" w:ascii="Times New Roman" w:hAnsi="Times New Roman" w:eastAsia="仿宋" w:cs="Times New Roman"/>
                <w:color w:val="000000"/>
                <w:kern w:val="0"/>
                <w:sz w:val="22"/>
                <w:szCs w:val="24"/>
              </w:rPr>
              <w:t>708.48</w:t>
            </w:r>
            <w:r>
              <w:rPr>
                <w:rFonts w:hint="default" w:ascii="Times New Roman" w:hAnsi="Times New Roman" w:eastAsia="仿宋" w:cs="Times New Roman"/>
                <w:kern w:val="0"/>
                <w:sz w:val="22"/>
                <w:szCs w:val="24"/>
              </w:rPr>
              <w:t>±608.35</w:t>
            </w:r>
          </w:p>
        </w:tc>
        <w:tc>
          <w:tcPr>
            <w:tcW w:w="23" w:type="pct"/>
            <w:tcBorders>
              <w:top w:val="single" w:color="auto" w:sz="6" w:space="0"/>
              <w:left w:val="nil"/>
              <w:bottom w:val="nil"/>
              <w:right w:val="nil"/>
            </w:tcBorders>
            <w:vAlign w:val="center"/>
          </w:tcPr>
          <w:p w14:paraId="78C6091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286" w:type="pct"/>
            <w:tcBorders>
              <w:top w:val="single" w:color="auto" w:sz="6" w:space="0"/>
              <w:left w:val="nil"/>
              <w:bottom w:val="nil"/>
              <w:right w:val="nil"/>
            </w:tcBorders>
            <w:vAlign w:val="center"/>
          </w:tcPr>
          <w:p w14:paraId="6057D39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622" w:type="pct"/>
            <w:tcBorders>
              <w:top w:val="single" w:color="auto" w:sz="6" w:space="0"/>
              <w:left w:val="nil"/>
              <w:bottom w:val="nil"/>
              <w:right w:val="nil"/>
            </w:tcBorders>
            <w:vAlign w:val="center"/>
          </w:tcPr>
          <w:p w14:paraId="245CE14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49" w:type="pct"/>
            <w:tcBorders>
              <w:top w:val="single" w:color="auto" w:sz="6" w:space="0"/>
              <w:left w:val="nil"/>
              <w:bottom w:val="nil"/>
              <w:right w:val="nil"/>
            </w:tcBorders>
            <w:vAlign w:val="center"/>
          </w:tcPr>
          <w:p w14:paraId="1A3A6A8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58" w:type="pct"/>
            <w:tcBorders>
              <w:top w:val="nil"/>
              <w:left w:val="nil"/>
              <w:bottom w:val="nil"/>
              <w:right w:val="nil"/>
            </w:tcBorders>
            <w:shd w:val="clear" w:color="auto" w:fill="auto"/>
            <w:vAlign w:val="center"/>
          </w:tcPr>
          <w:p w14:paraId="4E16B1A9">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r>
              <w:rPr>
                <w:rFonts w:hint="default" w:ascii="Times New Roman" w:hAnsi="Times New Roman" w:eastAsia="宋体" w:cs="Times New Roman"/>
                <w:color w:val="000000"/>
                <w:kern w:val="0"/>
                <w:sz w:val="22"/>
                <w:szCs w:val="20"/>
              </w:rPr>
              <w:t>5980.52</w:t>
            </w:r>
          </w:p>
        </w:tc>
        <w:tc>
          <w:tcPr>
            <w:tcW w:w="285" w:type="pct"/>
            <w:tcBorders>
              <w:top w:val="nil"/>
              <w:left w:val="nil"/>
              <w:bottom w:val="nil"/>
              <w:right w:val="nil"/>
            </w:tcBorders>
            <w:shd w:val="clear" w:color="auto" w:fill="auto"/>
            <w:vAlign w:val="center"/>
          </w:tcPr>
          <w:p w14:paraId="57AA85B2">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r>
              <w:rPr>
                <w:rFonts w:hint="default" w:ascii="Times New Roman" w:hAnsi="Times New Roman" w:eastAsia="宋体" w:cs="Times New Roman"/>
                <w:color w:val="000000"/>
                <w:kern w:val="0"/>
                <w:sz w:val="22"/>
                <w:szCs w:val="20"/>
              </w:rPr>
              <w:t xml:space="preserve">4.50 </w:t>
            </w:r>
          </w:p>
        </w:tc>
        <w:tc>
          <w:tcPr>
            <w:tcW w:w="51" w:type="pct"/>
            <w:tcBorders>
              <w:top w:val="single" w:color="auto" w:sz="6" w:space="0"/>
              <w:left w:val="nil"/>
              <w:bottom w:val="nil"/>
              <w:right w:val="nil"/>
            </w:tcBorders>
            <w:vAlign w:val="center"/>
          </w:tcPr>
          <w:p w14:paraId="43D7EDA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0" w:type="pct"/>
            <w:tcBorders>
              <w:top w:val="nil"/>
              <w:left w:val="nil"/>
              <w:bottom w:val="nil"/>
              <w:right w:val="nil"/>
            </w:tcBorders>
            <w:shd w:val="clear" w:color="auto" w:fill="auto"/>
            <w:vAlign w:val="center"/>
          </w:tcPr>
          <w:p w14:paraId="4DC61B41">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p>
        </w:tc>
        <w:tc>
          <w:tcPr>
            <w:tcW w:w="283" w:type="pct"/>
            <w:tcBorders>
              <w:top w:val="nil"/>
              <w:left w:val="nil"/>
              <w:bottom w:val="nil"/>
              <w:right w:val="nil"/>
            </w:tcBorders>
            <w:shd w:val="clear" w:color="auto" w:fill="auto"/>
            <w:vAlign w:val="center"/>
          </w:tcPr>
          <w:p w14:paraId="44106DCC">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p>
        </w:tc>
      </w:tr>
      <w:tr w14:paraId="2586791D">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97" w:hRule="atLeast"/>
        </w:trPr>
        <w:tc>
          <w:tcPr>
            <w:tcW w:w="253" w:type="pct"/>
            <w:vMerge w:val="continue"/>
            <w:tcBorders>
              <w:left w:val="nil"/>
              <w:right w:val="nil"/>
            </w:tcBorders>
            <w:vAlign w:val="center"/>
          </w:tcPr>
          <w:p w14:paraId="4DD92B3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p>
        </w:tc>
        <w:tc>
          <w:tcPr>
            <w:tcW w:w="253" w:type="pct"/>
            <w:vMerge w:val="continue"/>
            <w:tcBorders>
              <w:left w:val="nil"/>
              <w:bottom w:val="nil"/>
              <w:right w:val="nil"/>
            </w:tcBorders>
            <w:vAlign w:val="center"/>
          </w:tcPr>
          <w:p w14:paraId="1F5C8FB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p>
        </w:tc>
        <w:tc>
          <w:tcPr>
            <w:tcW w:w="302" w:type="pct"/>
            <w:tcBorders>
              <w:top w:val="nil"/>
              <w:left w:val="nil"/>
              <w:bottom w:val="nil"/>
              <w:right w:val="nil"/>
            </w:tcBorders>
            <w:vAlign w:val="center"/>
          </w:tcPr>
          <w:p w14:paraId="3D03119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eastAsia" w:ascii="Times New Roman" w:hAnsi="Times New Roman" w:eastAsia="仿宋" w:cs="Times New Roman"/>
                <w:kern w:val="0"/>
                <w:sz w:val="22"/>
                <w:szCs w:val="24"/>
              </w:rPr>
              <w:t>站台</w:t>
            </w:r>
          </w:p>
        </w:tc>
        <w:tc>
          <w:tcPr>
            <w:tcW w:w="303" w:type="pct"/>
            <w:tcBorders>
              <w:top w:val="nil"/>
              <w:left w:val="nil"/>
              <w:bottom w:val="nil"/>
              <w:right w:val="nil"/>
            </w:tcBorders>
            <w:vAlign w:val="center"/>
          </w:tcPr>
          <w:p w14:paraId="39C59B3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bCs/>
                <w:kern w:val="0"/>
                <w:sz w:val="22"/>
                <w:szCs w:val="24"/>
              </w:rPr>
            </w:pPr>
            <w:r>
              <w:rPr>
                <w:rFonts w:hint="eastAsia" w:ascii="Times New Roman" w:hAnsi="Times New Roman" w:eastAsia="仿宋" w:cs="Times New Roman"/>
                <w:bCs/>
                <w:kern w:val="0"/>
                <w:sz w:val="22"/>
                <w:szCs w:val="24"/>
              </w:rPr>
              <w:t>2</w:t>
            </w:r>
            <w:r>
              <w:rPr>
                <w:rFonts w:hint="default" w:ascii="Times New Roman" w:hAnsi="Times New Roman" w:eastAsia="仿宋" w:cs="Times New Roman"/>
                <w:bCs/>
                <w:kern w:val="0"/>
                <w:sz w:val="22"/>
                <w:szCs w:val="24"/>
              </w:rPr>
              <w:t>0</w:t>
            </w:r>
          </w:p>
        </w:tc>
        <w:tc>
          <w:tcPr>
            <w:tcW w:w="606" w:type="pct"/>
            <w:tcBorders>
              <w:top w:val="nil"/>
              <w:left w:val="nil"/>
              <w:bottom w:val="nil"/>
              <w:right w:val="nil"/>
            </w:tcBorders>
            <w:vAlign w:val="center"/>
          </w:tcPr>
          <w:p w14:paraId="6CE0D8B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3</w:t>
            </w:r>
            <w:r>
              <w:rPr>
                <w:rFonts w:hint="default" w:ascii="Times New Roman" w:hAnsi="Times New Roman" w:eastAsia="仿宋" w:cs="Times New Roman"/>
                <w:color w:val="000000"/>
                <w:kern w:val="0"/>
                <w:sz w:val="22"/>
                <w:szCs w:val="24"/>
              </w:rPr>
              <w:t>429.00</w:t>
            </w:r>
            <w:r>
              <w:rPr>
                <w:rFonts w:hint="default" w:ascii="Times New Roman" w:hAnsi="Times New Roman" w:eastAsia="仿宋" w:cs="Times New Roman"/>
                <w:kern w:val="0"/>
                <w:sz w:val="22"/>
                <w:szCs w:val="24"/>
              </w:rPr>
              <w:t>±1649.12</w:t>
            </w:r>
          </w:p>
        </w:tc>
        <w:tc>
          <w:tcPr>
            <w:tcW w:w="27" w:type="pct"/>
            <w:tcBorders>
              <w:top w:val="nil"/>
              <w:left w:val="nil"/>
              <w:bottom w:val="nil"/>
              <w:right w:val="nil"/>
            </w:tcBorders>
            <w:vAlign w:val="center"/>
          </w:tcPr>
          <w:p w14:paraId="08E6936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6" w:type="pct"/>
            <w:tcBorders>
              <w:top w:val="nil"/>
              <w:left w:val="nil"/>
              <w:bottom w:val="nil"/>
              <w:right w:val="nil"/>
            </w:tcBorders>
            <w:vAlign w:val="center"/>
          </w:tcPr>
          <w:p w14:paraId="10B10BB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2</w:t>
            </w:r>
            <w:r>
              <w:rPr>
                <w:rFonts w:hint="default" w:ascii="Times New Roman" w:hAnsi="Times New Roman" w:eastAsia="仿宋" w:cs="Times New Roman"/>
                <w:color w:val="000000"/>
                <w:kern w:val="0"/>
                <w:sz w:val="22"/>
                <w:szCs w:val="24"/>
              </w:rPr>
              <w:t>0</w:t>
            </w:r>
          </w:p>
        </w:tc>
        <w:tc>
          <w:tcPr>
            <w:tcW w:w="653" w:type="pct"/>
            <w:tcBorders>
              <w:top w:val="nil"/>
              <w:left w:val="nil"/>
              <w:bottom w:val="nil"/>
              <w:right w:val="nil"/>
            </w:tcBorders>
            <w:vAlign w:val="center"/>
          </w:tcPr>
          <w:p w14:paraId="731B41A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6</w:t>
            </w:r>
            <w:r>
              <w:rPr>
                <w:rFonts w:hint="default" w:ascii="Times New Roman" w:hAnsi="Times New Roman" w:eastAsia="仿宋" w:cs="Times New Roman"/>
                <w:color w:val="000000"/>
                <w:kern w:val="0"/>
                <w:sz w:val="22"/>
                <w:szCs w:val="24"/>
              </w:rPr>
              <w:t>91.70</w:t>
            </w:r>
            <w:r>
              <w:rPr>
                <w:rFonts w:hint="default" w:ascii="Times New Roman" w:hAnsi="Times New Roman" w:eastAsia="仿宋" w:cs="Times New Roman"/>
                <w:kern w:val="0"/>
                <w:sz w:val="22"/>
                <w:szCs w:val="24"/>
              </w:rPr>
              <w:t>±195.33</w:t>
            </w:r>
          </w:p>
        </w:tc>
        <w:tc>
          <w:tcPr>
            <w:tcW w:w="23" w:type="pct"/>
            <w:tcBorders>
              <w:top w:val="nil"/>
              <w:left w:val="nil"/>
              <w:bottom w:val="nil"/>
              <w:right w:val="nil"/>
            </w:tcBorders>
            <w:vAlign w:val="center"/>
          </w:tcPr>
          <w:p w14:paraId="77B252C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286" w:type="pct"/>
            <w:tcBorders>
              <w:top w:val="nil"/>
              <w:left w:val="nil"/>
              <w:bottom w:val="nil"/>
              <w:right w:val="nil"/>
            </w:tcBorders>
            <w:vAlign w:val="center"/>
          </w:tcPr>
          <w:p w14:paraId="0F1F3FB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622" w:type="pct"/>
            <w:tcBorders>
              <w:top w:val="nil"/>
              <w:left w:val="nil"/>
              <w:bottom w:val="nil"/>
              <w:right w:val="nil"/>
            </w:tcBorders>
            <w:vAlign w:val="center"/>
          </w:tcPr>
          <w:p w14:paraId="3CDB2C3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49" w:type="pct"/>
            <w:tcBorders>
              <w:top w:val="nil"/>
              <w:left w:val="nil"/>
              <w:bottom w:val="nil"/>
              <w:right w:val="nil"/>
            </w:tcBorders>
            <w:vAlign w:val="center"/>
          </w:tcPr>
          <w:p w14:paraId="3F3BF55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58" w:type="pct"/>
            <w:tcBorders>
              <w:top w:val="nil"/>
              <w:left w:val="nil"/>
              <w:bottom w:val="nil"/>
              <w:right w:val="nil"/>
            </w:tcBorders>
            <w:shd w:val="clear" w:color="auto" w:fill="auto"/>
            <w:vAlign w:val="center"/>
          </w:tcPr>
          <w:p w14:paraId="7A3F4598">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r>
              <w:rPr>
                <w:rFonts w:hint="default" w:ascii="Times New Roman" w:hAnsi="Times New Roman" w:eastAsia="宋体" w:cs="Times New Roman"/>
                <w:color w:val="000000"/>
                <w:kern w:val="0"/>
                <w:sz w:val="22"/>
                <w:szCs w:val="20"/>
              </w:rPr>
              <w:t>2737.30</w:t>
            </w:r>
          </w:p>
        </w:tc>
        <w:tc>
          <w:tcPr>
            <w:tcW w:w="285" w:type="pct"/>
            <w:tcBorders>
              <w:top w:val="nil"/>
              <w:left w:val="nil"/>
              <w:bottom w:val="nil"/>
              <w:right w:val="nil"/>
            </w:tcBorders>
            <w:shd w:val="clear" w:color="auto" w:fill="auto"/>
            <w:vAlign w:val="center"/>
          </w:tcPr>
          <w:p w14:paraId="685DCD41">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r>
              <w:rPr>
                <w:rFonts w:hint="default" w:ascii="Times New Roman" w:hAnsi="Times New Roman" w:eastAsia="宋体" w:cs="Times New Roman"/>
                <w:color w:val="000000"/>
                <w:kern w:val="0"/>
                <w:sz w:val="22"/>
                <w:szCs w:val="20"/>
              </w:rPr>
              <w:t xml:space="preserve">4.96 </w:t>
            </w:r>
          </w:p>
        </w:tc>
        <w:tc>
          <w:tcPr>
            <w:tcW w:w="51" w:type="pct"/>
            <w:tcBorders>
              <w:top w:val="nil"/>
              <w:left w:val="nil"/>
              <w:bottom w:val="nil"/>
              <w:right w:val="nil"/>
            </w:tcBorders>
            <w:vAlign w:val="center"/>
          </w:tcPr>
          <w:p w14:paraId="71982C5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0" w:type="pct"/>
            <w:tcBorders>
              <w:top w:val="nil"/>
              <w:left w:val="nil"/>
              <w:bottom w:val="nil"/>
              <w:right w:val="nil"/>
            </w:tcBorders>
            <w:shd w:val="clear" w:color="auto" w:fill="auto"/>
            <w:vAlign w:val="center"/>
          </w:tcPr>
          <w:p w14:paraId="75E953B3">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p>
        </w:tc>
        <w:tc>
          <w:tcPr>
            <w:tcW w:w="283" w:type="pct"/>
            <w:tcBorders>
              <w:top w:val="nil"/>
              <w:left w:val="nil"/>
              <w:bottom w:val="nil"/>
              <w:right w:val="nil"/>
            </w:tcBorders>
            <w:shd w:val="clear" w:color="auto" w:fill="auto"/>
            <w:vAlign w:val="center"/>
          </w:tcPr>
          <w:p w14:paraId="133CFB6E">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p>
        </w:tc>
      </w:tr>
      <w:tr w14:paraId="15C263F3">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97" w:hRule="atLeast"/>
        </w:trPr>
        <w:tc>
          <w:tcPr>
            <w:tcW w:w="253" w:type="pct"/>
            <w:vMerge w:val="continue"/>
            <w:tcBorders>
              <w:left w:val="nil"/>
              <w:right w:val="nil"/>
            </w:tcBorders>
            <w:vAlign w:val="center"/>
          </w:tcPr>
          <w:p w14:paraId="32E1125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p>
        </w:tc>
        <w:tc>
          <w:tcPr>
            <w:tcW w:w="253" w:type="pct"/>
            <w:vMerge w:val="restart"/>
            <w:tcBorders>
              <w:top w:val="nil"/>
              <w:left w:val="nil"/>
              <w:right w:val="nil"/>
            </w:tcBorders>
            <w:vAlign w:val="center"/>
          </w:tcPr>
          <w:p w14:paraId="7F88A3E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eastAsia" w:ascii="Times New Roman" w:hAnsi="Times New Roman" w:eastAsia="仿宋" w:cs="Times New Roman"/>
                <w:kern w:val="0"/>
                <w:sz w:val="22"/>
                <w:szCs w:val="24"/>
              </w:rPr>
              <w:t>下午</w:t>
            </w:r>
          </w:p>
        </w:tc>
        <w:tc>
          <w:tcPr>
            <w:tcW w:w="302" w:type="pct"/>
            <w:tcBorders>
              <w:top w:val="nil"/>
              <w:left w:val="nil"/>
              <w:bottom w:val="nil"/>
              <w:right w:val="nil"/>
            </w:tcBorders>
            <w:vAlign w:val="center"/>
          </w:tcPr>
          <w:p w14:paraId="38041BF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eastAsia" w:ascii="Times New Roman" w:hAnsi="Times New Roman" w:eastAsia="仿宋" w:cs="Times New Roman"/>
                <w:kern w:val="0"/>
                <w:sz w:val="22"/>
                <w:szCs w:val="24"/>
              </w:rPr>
              <w:t>站厅</w:t>
            </w:r>
          </w:p>
        </w:tc>
        <w:tc>
          <w:tcPr>
            <w:tcW w:w="303" w:type="pct"/>
            <w:tcBorders>
              <w:top w:val="nil"/>
              <w:left w:val="nil"/>
              <w:bottom w:val="nil"/>
              <w:right w:val="nil"/>
            </w:tcBorders>
            <w:vAlign w:val="center"/>
          </w:tcPr>
          <w:p w14:paraId="10B1F78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bCs/>
                <w:kern w:val="0"/>
                <w:sz w:val="22"/>
                <w:szCs w:val="24"/>
              </w:rPr>
            </w:pPr>
            <w:r>
              <w:rPr>
                <w:rFonts w:hint="eastAsia" w:ascii="Times New Roman" w:hAnsi="Times New Roman" w:eastAsia="仿宋" w:cs="Times New Roman"/>
                <w:bCs/>
                <w:kern w:val="0"/>
                <w:sz w:val="22"/>
                <w:szCs w:val="24"/>
              </w:rPr>
              <w:t>2</w:t>
            </w:r>
            <w:r>
              <w:rPr>
                <w:rFonts w:hint="default" w:ascii="Times New Roman" w:hAnsi="Times New Roman" w:eastAsia="仿宋" w:cs="Times New Roman"/>
                <w:bCs/>
                <w:kern w:val="0"/>
                <w:sz w:val="22"/>
                <w:szCs w:val="24"/>
              </w:rPr>
              <w:t>0</w:t>
            </w:r>
          </w:p>
        </w:tc>
        <w:tc>
          <w:tcPr>
            <w:tcW w:w="606" w:type="pct"/>
            <w:tcBorders>
              <w:top w:val="nil"/>
              <w:left w:val="nil"/>
              <w:bottom w:val="nil"/>
              <w:right w:val="nil"/>
            </w:tcBorders>
            <w:vAlign w:val="center"/>
          </w:tcPr>
          <w:p w14:paraId="1670AD6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6</w:t>
            </w:r>
            <w:r>
              <w:rPr>
                <w:rFonts w:hint="default" w:ascii="Times New Roman" w:hAnsi="Times New Roman" w:eastAsia="仿宋" w:cs="Times New Roman"/>
                <w:color w:val="000000"/>
                <w:kern w:val="0"/>
                <w:sz w:val="22"/>
                <w:szCs w:val="24"/>
              </w:rPr>
              <w:t>417.00</w:t>
            </w:r>
            <w:r>
              <w:rPr>
                <w:rFonts w:hint="default" w:ascii="Times New Roman" w:hAnsi="Times New Roman" w:eastAsia="仿宋" w:cs="Times New Roman"/>
                <w:kern w:val="0"/>
                <w:sz w:val="22"/>
                <w:szCs w:val="24"/>
              </w:rPr>
              <w:t>±2980.28</w:t>
            </w:r>
          </w:p>
        </w:tc>
        <w:tc>
          <w:tcPr>
            <w:tcW w:w="27" w:type="pct"/>
            <w:tcBorders>
              <w:top w:val="nil"/>
              <w:left w:val="nil"/>
              <w:bottom w:val="nil"/>
              <w:right w:val="nil"/>
            </w:tcBorders>
            <w:vAlign w:val="center"/>
          </w:tcPr>
          <w:p w14:paraId="7BB8782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6" w:type="pct"/>
            <w:tcBorders>
              <w:top w:val="nil"/>
              <w:left w:val="nil"/>
              <w:bottom w:val="nil"/>
              <w:right w:val="nil"/>
            </w:tcBorders>
            <w:vAlign w:val="center"/>
          </w:tcPr>
          <w:p w14:paraId="6EE6F53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2</w:t>
            </w:r>
            <w:r>
              <w:rPr>
                <w:rFonts w:hint="default" w:ascii="Times New Roman" w:hAnsi="Times New Roman" w:eastAsia="仿宋" w:cs="Times New Roman"/>
                <w:color w:val="000000"/>
                <w:kern w:val="0"/>
                <w:sz w:val="22"/>
                <w:szCs w:val="24"/>
              </w:rPr>
              <w:t>0</w:t>
            </w:r>
          </w:p>
        </w:tc>
        <w:tc>
          <w:tcPr>
            <w:tcW w:w="653" w:type="pct"/>
            <w:tcBorders>
              <w:top w:val="nil"/>
              <w:left w:val="nil"/>
              <w:bottom w:val="nil"/>
              <w:right w:val="nil"/>
            </w:tcBorders>
            <w:vAlign w:val="center"/>
          </w:tcPr>
          <w:p w14:paraId="2D5A38E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1</w:t>
            </w:r>
            <w:r>
              <w:rPr>
                <w:rFonts w:hint="default" w:ascii="Times New Roman" w:hAnsi="Times New Roman" w:eastAsia="仿宋" w:cs="Times New Roman"/>
                <w:color w:val="000000"/>
                <w:kern w:val="0"/>
                <w:sz w:val="22"/>
                <w:szCs w:val="24"/>
              </w:rPr>
              <w:t>232.86</w:t>
            </w:r>
            <w:r>
              <w:rPr>
                <w:rFonts w:hint="default" w:ascii="Times New Roman" w:hAnsi="Times New Roman" w:eastAsia="仿宋" w:cs="Times New Roman"/>
                <w:kern w:val="0"/>
                <w:sz w:val="22"/>
                <w:szCs w:val="24"/>
              </w:rPr>
              <w:t>±493.17</w:t>
            </w:r>
          </w:p>
        </w:tc>
        <w:tc>
          <w:tcPr>
            <w:tcW w:w="23" w:type="pct"/>
            <w:tcBorders>
              <w:top w:val="nil"/>
              <w:left w:val="nil"/>
              <w:bottom w:val="nil"/>
              <w:right w:val="nil"/>
            </w:tcBorders>
            <w:vAlign w:val="center"/>
          </w:tcPr>
          <w:p w14:paraId="79454AA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286" w:type="pct"/>
            <w:tcBorders>
              <w:top w:val="nil"/>
              <w:left w:val="nil"/>
              <w:bottom w:val="nil"/>
              <w:right w:val="nil"/>
            </w:tcBorders>
            <w:vAlign w:val="center"/>
          </w:tcPr>
          <w:p w14:paraId="724EFCD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622" w:type="pct"/>
            <w:tcBorders>
              <w:top w:val="nil"/>
              <w:left w:val="nil"/>
              <w:bottom w:val="nil"/>
              <w:right w:val="nil"/>
            </w:tcBorders>
            <w:vAlign w:val="center"/>
          </w:tcPr>
          <w:p w14:paraId="5B46488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49" w:type="pct"/>
            <w:tcBorders>
              <w:top w:val="nil"/>
              <w:left w:val="nil"/>
              <w:bottom w:val="nil"/>
              <w:right w:val="nil"/>
            </w:tcBorders>
            <w:vAlign w:val="center"/>
          </w:tcPr>
          <w:p w14:paraId="3259321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58" w:type="pct"/>
            <w:tcBorders>
              <w:top w:val="nil"/>
              <w:left w:val="nil"/>
              <w:bottom w:val="nil"/>
              <w:right w:val="nil"/>
            </w:tcBorders>
            <w:shd w:val="clear" w:color="auto" w:fill="auto"/>
            <w:vAlign w:val="center"/>
          </w:tcPr>
          <w:p w14:paraId="22E38E66">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r>
              <w:rPr>
                <w:rFonts w:hint="default" w:ascii="Times New Roman" w:hAnsi="Times New Roman" w:eastAsia="宋体" w:cs="Times New Roman"/>
                <w:color w:val="000000"/>
                <w:kern w:val="0"/>
                <w:sz w:val="22"/>
                <w:szCs w:val="20"/>
              </w:rPr>
              <w:t>5184.14</w:t>
            </w:r>
          </w:p>
        </w:tc>
        <w:tc>
          <w:tcPr>
            <w:tcW w:w="285" w:type="pct"/>
            <w:tcBorders>
              <w:top w:val="nil"/>
              <w:left w:val="nil"/>
              <w:bottom w:val="nil"/>
              <w:right w:val="nil"/>
            </w:tcBorders>
            <w:shd w:val="clear" w:color="auto" w:fill="auto"/>
            <w:vAlign w:val="center"/>
          </w:tcPr>
          <w:p w14:paraId="0EDAA411">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r>
              <w:rPr>
                <w:rFonts w:hint="default" w:ascii="Times New Roman" w:hAnsi="Times New Roman" w:eastAsia="宋体" w:cs="Times New Roman"/>
                <w:color w:val="000000"/>
                <w:kern w:val="0"/>
                <w:sz w:val="22"/>
                <w:szCs w:val="20"/>
              </w:rPr>
              <w:t xml:space="preserve">5.20 </w:t>
            </w:r>
          </w:p>
        </w:tc>
        <w:tc>
          <w:tcPr>
            <w:tcW w:w="51" w:type="pct"/>
            <w:tcBorders>
              <w:top w:val="nil"/>
              <w:left w:val="nil"/>
              <w:bottom w:val="nil"/>
              <w:right w:val="nil"/>
            </w:tcBorders>
            <w:vAlign w:val="center"/>
          </w:tcPr>
          <w:p w14:paraId="74D4DED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0" w:type="pct"/>
            <w:tcBorders>
              <w:top w:val="nil"/>
              <w:left w:val="nil"/>
              <w:bottom w:val="nil"/>
              <w:right w:val="nil"/>
            </w:tcBorders>
            <w:shd w:val="clear" w:color="auto" w:fill="auto"/>
            <w:vAlign w:val="center"/>
          </w:tcPr>
          <w:p w14:paraId="2574CC12">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p>
        </w:tc>
        <w:tc>
          <w:tcPr>
            <w:tcW w:w="283" w:type="pct"/>
            <w:tcBorders>
              <w:top w:val="nil"/>
              <w:left w:val="nil"/>
              <w:bottom w:val="nil"/>
              <w:right w:val="nil"/>
            </w:tcBorders>
            <w:shd w:val="clear" w:color="auto" w:fill="auto"/>
            <w:vAlign w:val="center"/>
          </w:tcPr>
          <w:p w14:paraId="0CC5A7C8">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p>
        </w:tc>
      </w:tr>
      <w:tr w14:paraId="7EE777D8">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97" w:hRule="atLeast"/>
        </w:trPr>
        <w:tc>
          <w:tcPr>
            <w:tcW w:w="253" w:type="pct"/>
            <w:vMerge w:val="continue"/>
            <w:tcBorders>
              <w:left w:val="nil"/>
              <w:right w:val="nil"/>
            </w:tcBorders>
            <w:vAlign w:val="center"/>
          </w:tcPr>
          <w:p w14:paraId="5D810EE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p>
        </w:tc>
        <w:tc>
          <w:tcPr>
            <w:tcW w:w="253" w:type="pct"/>
            <w:vMerge w:val="continue"/>
            <w:tcBorders>
              <w:left w:val="nil"/>
              <w:bottom w:val="nil"/>
              <w:right w:val="nil"/>
            </w:tcBorders>
            <w:vAlign w:val="center"/>
          </w:tcPr>
          <w:p w14:paraId="3B25CBE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p>
        </w:tc>
        <w:tc>
          <w:tcPr>
            <w:tcW w:w="302" w:type="pct"/>
            <w:tcBorders>
              <w:top w:val="nil"/>
              <w:left w:val="nil"/>
              <w:bottom w:val="nil"/>
              <w:right w:val="nil"/>
            </w:tcBorders>
            <w:vAlign w:val="center"/>
          </w:tcPr>
          <w:p w14:paraId="340B11F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eastAsia" w:ascii="Times New Roman" w:hAnsi="Times New Roman" w:eastAsia="仿宋" w:cs="Times New Roman"/>
                <w:kern w:val="0"/>
                <w:sz w:val="22"/>
                <w:szCs w:val="24"/>
              </w:rPr>
              <w:t>站台</w:t>
            </w:r>
          </w:p>
        </w:tc>
        <w:tc>
          <w:tcPr>
            <w:tcW w:w="303" w:type="pct"/>
            <w:tcBorders>
              <w:top w:val="nil"/>
              <w:left w:val="nil"/>
              <w:bottom w:val="nil"/>
              <w:right w:val="nil"/>
            </w:tcBorders>
            <w:vAlign w:val="center"/>
          </w:tcPr>
          <w:p w14:paraId="27BBFB8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bCs/>
                <w:kern w:val="0"/>
                <w:sz w:val="22"/>
                <w:szCs w:val="24"/>
              </w:rPr>
            </w:pPr>
            <w:r>
              <w:rPr>
                <w:rFonts w:hint="eastAsia" w:ascii="Times New Roman" w:hAnsi="Times New Roman" w:eastAsia="仿宋" w:cs="Times New Roman"/>
                <w:bCs/>
                <w:kern w:val="0"/>
                <w:sz w:val="22"/>
                <w:szCs w:val="24"/>
              </w:rPr>
              <w:t>2</w:t>
            </w:r>
            <w:r>
              <w:rPr>
                <w:rFonts w:hint="default" w:ascii="Times New Roman" w:hAnsi="Times New Roman" w:eastAsia="仿宋" w:cs="Times New Roman"/>
                <w:bCs/>
                <w:kern w:val="0"/>
                <w:sz w:val="22"/>
                <w:szCs w:val="24"/>
              </w:rPr>
              <w:t>0</w:t>
            </w:r>
          </w:p>
        </w:tc>
        <w:tc>
          <w:tcPr>
            <w:tcW w:w="606" w:type="pct"/>
            <w:tcBorders>
              <w:top w:val="nil"/>
              <w:left w:val="nil"/>
              <w:bottom w:val="nil"/>
              <w:right w:val="nil"/>
            </w:tcBorders>
            <w:vAlign w:val="center"/>
          </w:tcPr>
          <w:p w14:paraId="71AE487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2</w:t>
            </w:r>
            <w:r>
              <w:rPr>
                <w:rFonts w:hint="default" w:ascii="Times New Roman" w:hAnsi="Times New Roman" w:eastAsia="仿宋" w:cs="Times New Roman"/>
                <w:color w:val="000000"/>
                <w:kern w:val="0"/>
                <w:sz w:val="22"/>
                <w:szCs w:val="24"/>
              </w:rPr>
              <w:t>328.00</w:t>
            </w:r>
            <w:r>
              <w:rPr>
                <w:rFonts w:hint="default" w:ascii="Times New Roman" w:hAnsi="Times New Roman" w:eastAsia="仿宋" w:cs="Times New Roman"/>
                <w:kern w:val="0"/>
                <w:sz w:val="22"/>
                <w:szCs w:val="24"/>
              </w:rPr>
              <w:t>±672.70</w:t>
            </w:r>
          </w:p>
        </w:tc>
        <w:tc>
          <w:tcPr>
            <w:tcW w:w="27" w:type="pct"/>
            <w:tcBorders>
              <w:top w:val="nil"/>
              <w:left w:val="nil"/>
              <w:bottom w:val="nil"/>
              <w:right w:val="nil"/>
            </w:tcBorders>
            <w:vAlign w:val="center"/>
          </w:tcPr>
          <w:p w14:paraId="461F84F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6" w:type="pct"/>
            <w:tcBorders>
              <w:top w:val="nil"/>
              <w:left w:val="nil"/>
              <w:bottom w:val="nil"/>
              <w:right w:val="nil"/>
            </w:tcBorders>
            <w:vAlign w:val="center"/>
          </w:tcPr>
          <w:p w14:paraId="423D530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2</w:t>
            </w:r>
            <w:r>
              <w:rPr>
                <w:rFonts w:hint="default" w:ascii="Times New Roman" w:hAnsi="Times New Roman" w:eastAsia="仿宋" w:cs="Times New Roman"/>
                <w:color w:val="000000"/>
                <w:kern w:val="0"/>
                <w:sz w:val="22"/>
                <w:szCs w:val="24"/>
              </w:rPr>
              <w:t>0</w:t>
            </w:r>
          </w:p>
        </w:tc>
        <w:tc>
          <w:tcPr>
            <w:tcW w:w="653" w:type="pct"/>
            <w:tcBorders>
              <w:top w:val="nil"/>
              <w:left w:val="nil"/>
              <w:bottom w:val="nil"/>
              <w:right w:val="nil"/>
            </w:tcBorders>
            <w:vAlign w:val="center"/>
          </w:tcPr>
          <w:p w14:paraId="45A7C03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4</w:t>
            </w:r>
            <w:r>
              <w:rPr>
                <w:rFonts w:hint="default" w:ascii="Times New Roman" w:hAnsi="Times New Roman" w:eastAsia="仿宋" w:cs="Times New Roman"/>
                <w:color w:val="000000"/>
                <w:kern w:val="0"/>
                <w:sz w:val="22"/>
                <w:szCs w:val="24"/>
              </w:rPr>
              <w:t>73.32</w:t>
            </w:r>
            <w:r>
              <w:rPr>
                <w:rFonts w:hint="default" w:ascii="Times New Roman" w:hAnsi="Times New Roman" w:eastAsia="仿宋" w:cs="Times New Roman"/>
                <w:kern w:val="0"/>
                <w:sz w:val="22"/>
                <w:szCs w:val="24"/>
              </w:rPr>
              <w:t>±192.44</w:t>
            </w:r>
          </w:p>
        </w:tc>
        <w:tc>
          <w:tcPr>
            <w:tcW w:w="23" w:type="pct"/>
            <w:tcBorders>
              <w:top w:val="nil"/>
              <w:left w:val="nil"/>
              <w:bottom w:val="nil"/>
              <w:right w:val="nil"/>
            </w:tcBorders>
            <w:vAlign w:val="center"/>
          </w:tcPr>
          <w:p w14:paraId="4F86A59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286" w:type="pct"/>
            <w:tcBorders>
              <w:top w:val="nil"/>
              <w:left w:val="nil"/>
              <w:bottom w:val="nil"/>
              <w:right w:val="nil"/>
            </w:tcBorders>
            <w:vAlign w:val="center"/>
          </w:tcPr>
          <w:p w14:paraId="7B8AC1D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622" w:type="pct"/>
            <w:tcBorders>
              <w:top w:val="nil"/>
              <w:left w:val="nil"/>
              <w:bottom w:val="nil"/>
              <w:right w:val="nil"/>
            </w:tcBorders>
            <w:vAlign w:val="center"/>
          </w:tcPr>
          <w:p w14:paraId="153AE28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49" w:type="pct"/>
            <w:tcBorders>
              <w:top w:val="nil"/>
              <w:left w:val="nil"/>
              <w:bottom w:val="nil"/>
              <w:right w:val="nil"/>
            </w:tcBorders>
            <w:vAlign w:val="center"/>
          </w:tcPr>
          <w:p w14:paraId="0F10CF9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58" w:type="pct"/>
            <w:tcBorders>
              <w:top w:val="nil"/>
              <w:left w:val="nil"/>
              <w:bottom w:val="nil"/>
              <w:right w:val="nil"/>
            </w:tcBorders>
            <w:shd w:val="clear" w:color="auto" w:fill="auto"/>
            <w:vAlign w:val="center"/>
          </w:tcPr>
          <w:p w14:paraId="12F80A47">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r>
              <w:rPr>
                <w:rFonts w:hint="default" w:ascii="Times New Roman" w:hAnsi="Times New Roman" w:eastAsia="宋体" w:cs="Times New Roman"/>
                <w:color w:val="000000"/>
                <w:kern w:val="0"/>
                <w:sz w:val="22"/>
                <w:szCs w:val="20"/>
              </w:rPr>
              <w:t>1854.68</w:t>
            </w:r>
          </w:p>
        </w:tc>
        <w:tc>
          <w:tcPr>
            <w:tcW w:w="285" w:type="pct"/>
            <w:tcBorders>
              <w:top w:val="nil"/>
              <w:left w:val="nil"/>
              <w:bottom w:val="nil"/>
              <w:right w:val="nil"/>
            </w:tcBorders>
            <w:shd w:val="clear" w:color="auto" w:fill="auto"/>
            <w:vAlign w:val="center"/>
          </w:tcPr>
          <w:p w14:paraId="50AF1165">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r>
              <w:rPr>
                <w:rFonts w:hint="default" w:ascii="Times New Roman" w:hAnsi="Times New Roman" w:eastAsia="宋体" w:cs="Times New Roman"/>
                <w:color w:val="000000"/>
                <w:kern w:val="0"/>
                <w:sz w:val="22"/>
                <w:szCs w:val="20"/>
              </w:rPr>
              <w:t xml:space="preserve">4.92 </w:t>
            </w:r>
          </w:p>
        </w:tc>
        <w:tc>
          <w:tcPr>
            <w:tcW w:w="51" w:type="pct"/>
            <w:tcBorders>
              <w:top w:val="nil"/>
              <w:left w:val="nil"/>
              <w:bottom w:val="nil"/>
              <w:right w:val="nil"/>
            </w:tcBorders>
            <w:vAlign w:val="center"/>
          </w:tcPr>
          <w:p w14:paraId="673B341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0" w:type="pct"/>
            <w:tcBorders>
              <w:top w:val="nil"/>
              <w:left w:val="nil"/>
              <w:bottom w:val="nil"/>
              <w:right w:val="nil"/>
            </w:tcBorders>
            <w:shd w:val="clear" w:color="auto" w:fill="auto"/>
            <w:vAlign w:val="center"/>
          </w:tcPr>
          <w:p w14:paraId="654A65D7">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p>
        </w:tc>
        <w:tc>
          <w:tcPr>
            <w:tcW w:w="283" w:type="pct"/>
            <w:tcBorders>
              <w:top w:val="nil"/>
              <w:left w:val="nil"/>
              <w:bottom w:val="nil"/>
              <w:right w:val="nil"/>
            </w:tcBorders>
            <w:shd w:val="clear" w:color="auto" w:fill="auto"/>
            <w:vAlign w:val="center"/>
          </w:tcPr>
          <w:p w14:paraId="7231E33C">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p>
        </w:tc>
      </w:tr>
      <w:tr w14:paraId="3008025C">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97" w:hRule="atLeast"/>
        </w:trPr>
        <w:tc>
          <w:tcPr>
            <w:tcW w:w="253" w:type="pct"/>
            <w:vMerge w:val="continue"/>
            <w:tcBorders>
              <w:left w:val="nil"/>
              <w:right w:val="nil"/>
            </w:tcBorders>
            <w:vAlign w:val="center"/>
          </w:tcPr>
          <w:p w14:paraId="10ED8DD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p>
        </w:tc>
        <w:tc>
          <w:tcPr>
            <w:tcW w:w="253" w:type="pct"/>
            <w:vMerge w:val="restart"/>
            <w:tcBorders>
              <w:top w:val="nil"/>
              <w:left w:val="nil"/>
              <w:right w:val="nil"/>
            </w:tcBorders>
            <w:vAlign w:val="center"/>
          </w:tcPr>
          <w:p w14:paraId="046701A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eastAsia" w:ascii="Times New Roman" w:hAnsi="Times New Roman" w:eastAsia="仿宋" w:cs="Times New Roman"/>
                <w:kern w:val="0"/>
                <w:sz w:val="22"/>
                <w:szCs w:val="24"/>
              </w:rPr>
              <w:t>全天</w:t>
            </w:r>
          </w:p>
        </w:tc>
        <w:tc>
          <w:tcPr>
            <w:tcW w:w="302" w:type="pct"/>
            <w:tcBorders>
              <w:top w:val="nil"/>
              <w:left w:val="nil"/>
              <w:bottom w:val="nil"/>
              <w:right w:val="nil"/>
            </w:tcBorders>
            <w:vAlign w:val="center"/>
          </w:tcPr>
          <w:p w14:paraId="7EB7B61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eastAsia" w:ascii="Times New Roman" w:hAnsi="Times New Roman" w:eastAsia="仿宋" w:cs="Times New Roman"/>
                <w:kern w:val="0"/>
                <w:sz w:val="22"/>
                <w:szCs w:val="24"/>
              </w:rPr>
              <w:t>站厅</w:t>
            </w:r>
          </w:p>
        </w:tc>
        <w:tc>
          <w:tcPr>
            <w:tcW w:w="303" w:type="pct"/>
            <w:tcBorders>
              <w:top w:val="nil"/>
              <w:left w:val="nil"/>
              <w:bottom w:val="nil"/>
              <w:right w:val="nil"/>
            </w:tcBorders>
            <w:vAlign w:val="center"/>
          </w:tcPr>
          <w:p w14:paraId="68D085D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bCs/>
                <w:kern w:val="0"/>
                <w:sz w:val="22"/>
                <w:szCs w:val="24"/>
              </w:rPr>
            </w:pPr>
            <w:r>
              <w:rPr>
                <w:rFonts w:hint="eastAsia" w:ascii="Times New Roman" w:hAnsi="Times New Roman" w:eastAsia="仿宋" w:cs="Times New Roman"/>
                <w:bCs/>
                <w:kern w:val="0"/>
                <w:sz w:val="22"/>
                <w:szCs w:val="24"/>
              </w:rPr>
              <w:t>4</w:t>
            </w:r>
            <w:r>
              <w:rPr>
                <w:rFonts w:hint="default" w:ascii="Times New Roman" w:hAnsi="Times New Roman" w:eastAsia="仿宋" w:cs="Times New Roman"/>
                <w:bCs/>
                <w:kern w:val="0"/>
                <w:sz w:val="22"/>
                <w:szCs w:val="24"/>
              </w:rPr>
              <w:t>0</w:t>
            </w:r>
          </w:p>
        </w:tc>
        <w:tc>
          <w:tcPr>
            <w:tcW w:w="606" w:type="pct"/>
            <w:tcBorders>
              <w:top w:val="nil"/>
              <w:left w:val="nil"/>
              <w:bottom w:val="nil"/>
              <w:right w:val="nil"/>
            </w:tcBorders>
            <w:vAlign w:val="center"/>
          </w:tcPr>
          <w:p w14:paraId="22AA5C1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7</w:t>
            </w:r>
            <w:r>
              <w:rPr>
                <w:rFonts w:hint="default" w:ascii="Times New Roman" w:hAnsi="Times New Roman" w:eastAsia="仿宋" w:cs="Times New Roman"/>
                <w:color w:val="000000"/>
                <w:kern w:val="0"/>
                <w:sz w:val="22"/>
                <w:szCs w:val="24"/>
              </w:rPr>
              <w:t>053.00</w:t>
            </w:r>
            <w:r>
              <w:rPr>
                <w:rFonts w:hint="default" w:ascii="Times New Roman" w:hAnsi="Times New Roman" w:eastAsia="仿宋" w:cs="Times New Roman"/>
                <w:kern w:val="0"/>
                <w:sz w:val="22"/>
                <w:szCs w:val="24"/>
              </w:rPr>
              <w:t>±2687.97</w:t>
            </w:r>
          </w:p>
        </w:tc>
        <w:tc>
          <w:tcPr>
            <w:tcW w:w="27" w:type="pct"/>
            <w:tcBorders>
              <w:top w:val="nil"/>
              <w:left w:val="nil"/>
              <w:bottom w:val="nil"/>
              <w:right w:val="nil"/>
            </w:tcBorders>
            <w:vAlign w:val="center"/>
          </w:tcPr>
          <w:p w14:paraId="7C9BF54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6" w:type="pct"/>
            <w:tcBorders>
              <w:top w:val="nil"/>
              <w:left w:val="nil"/>
              <w:bottom w:val="nil"/>
              <w:right w:val="nil"/>
            </w:tcBorders>
            <w:vAlign w:val="center"/>
          </w:tcPr>
          <w:p w14:paraId="061CDE7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4</w:t>
            </w:r>
            <w:r>
              <w:rPr>
                <w:rFonts w:hint="default" w:ascii="Times New Roman" w:hAnsi="Times New Roman" w:eastAsia="仿宋" w:cs="Times New Roman"/>
                <w:color w:val="000000"/>
                <w:kern w:val="0"/>
                <w:sz w:val="22"/>
                <w:szCs w:val="24"/>
              </w:rPr>
              <w:t>0</w:t>
            </w:r>
          </w:p>
        </w:tc>
        <w:tc>
          <w:tcPr>
            <w:tcW w:w="653" w:type="pct"/>
            <w:tcBorders>
              <w:top w:val="nil"/>
              <w:left w:val="nil"/>
              <w:bottom w:val="nil"/>
              <w:right w:val="nil"/>
            </w:tcBorders>
            <w:vAlign w:val="center"/>
          </w:tcPr>
          <w:p w14:paraId="1C8E331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1</w:t>
            </w:r>
            <w:r>
              <w:rPr>
                <w:rFonts w:hint="default" w:ascii="Times New Roman" w:hAnsi="Times New Roman" w:eastAsia="仿宋" w:cs="Times New Roman"/>
                <w:color w:val="000000"/>
                <w:kern w:val="0"/>
                <w:sz w:val="22"/>
                <w:szCs w:val="24"/>
              </w:rPr>
              <w:t>470.67</w:t>
            </w:r>
            <w:r>
              <w:rPr>
                <w:rFonts w:hint="default" w:ascii="Times New Roman" w:hAnsi="Times New Roman" w:eastAsia="仿宋" w:cs="Times New Roman"/>
                <w:kern w:val="0"/>
                <w:sz w:val="22"/>
                <w:szCs w:val="24"/>
              </w:rPr>
              <w:t>±597.32</w:t>
            </w:r>
          </w:p>
        </w:tc>
        <w:tc>
          <w:tcPr>
            <w:tcW w:w="23" w:type="pct"/>
            <w:tcBorders>
              <w:top w:val="nil"/>
              <w:left w:val="nil"/>
              <w:bottom w:val="nil"/>
              <w:right w:val="nil"/>
            </w:tcBorders>
            <w:vAlign w:val="center"/>
          </w:tcPr>
          <w:p w14:paraId="164B19B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286" w:type="pct"/>
            <w:tcBorders>
              <w:top w:val="nil"/>
              <w:left w:val="nil"/>
              <w:bottom w:val="nil"/>
              <w:right w:val="nil"/>
            </w:tcBorders>
            <w:vAlign w:val="center"/>
          </w:tcPr>
          <w:p w14:paraId="5A25DD2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1</w:t>
            </w:r>
            <w:r>
              <w:rPr>
                <w:rFonts w:hint="default" w:ascii="Times New Roman" w:hAnsi="Times New Roman" w:eastAsia="仿宋" w:cs="Times New Roman"/>
                <w:color w:val="000000"/>
                <w:kern w:val="0"/>
                <w:sz w:val="22"/>
                <w:szCs w:val="24"/>
              </w:rPr>
              <w:t>0</w:t>
            </w:r>
          </w:p>
        </w:tc>
        <w:tc>
          <w:tcPr>
            <w:tcW w:w="622" w:type="pct"/>
            <w:tcBorders>
              <w:top w:val="nil"/>
              <w:left w:val="nil"/>
              <w:bottom w:val="nil"/>
              <w:right w:val="nil"/>
            </w:tcBorders>
            <w:vAlign w:val="center"/>
          </w:tcPr>
          <w:p w14:paraId="79A1843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7</w:t>
            </w:r>
            <w:r>
              <w:rPr>
                <w:rFonts w:hint="default" w:ascii="Times New Roman" w:hAnsi="Times New Roman" w:eastAsia="仿宋" w:cs="Times New Roman"/>
                <w:color w:val="000000"/>
                <w:kern w:val="0"/>
                <w:sz w:val="22"/>
                <w:szCs w:val="24"/>
              </w:rPr>
              <w:t>67.51</w:t>
            </w:r>
            <w:r>
              <w:rPr>
                <w:rFonts w:hint="default" w:ascii="Times New Roman" w:hAnsi="Times New Roman" w:eastAsia="仿宋" w:cs="Times New Roman"/>
                <w:kern w:val="0"/>
                <w:sz w:val="22"/>
                <w:szCs w:val="24"/>
              </w:rPr>
              <w:t>±118.96</w:t>
            </w:r>
          </w:p>
        </w:tc>
        <w:tc>
          <w:tcPr>
            <w:tcW w:w="49" w:type="pct"/>
            <w:tcBorders>
              <w:top w:val="nil"/>
              <w:left w:val="nil"/>
              <w:bottom w:val="nil"/>
              <w:right w:val="nil"/>
            </w:tcBorders>
            <w:vAlign w:val="center"/>
          </w:tcPr>
          <w:p w14:paraId="445B3A6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58" w:type="pct"/>
            <w:tcBorders>
              <w:top w:val="nil"/>
              <w:left w:val="nil"/>
              <w:bottom w:val="nil"/>
              <w:right w:val="nil"/>
            </w:tcBorders>
            <w:shd w:val="clear" w:color="auto" w:fill="auto"/>
            <w:vAlign w:val="center"/>
          </w:tcPr>
          <w:p w14:paraId="7ADB7ED1">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r>
              <w:rPr>
                <w:rFonts w:hint="default" w:ascii="Times New Roman" w:hAnsi="Times New Roman" w:eastAsia="宋体" w:cs="Times New Roman"/>
                <w:color w:val="000000"/>
                <w:kern w:val="0"/>
                <w:sz w:val="22"/>
                <w:szCs w:val="20"/>
              </w:rPr>
              <w:t>5582.33</w:t>
            </w:r>
          </w:p>
        </w:tc>
        <w:tc>
          <w:tcPr>
            <w:tcW w:w="285" w:type="pct"/>
            <w:tcBorders>
              <w:top w:val="nil"/>
              <w:left w:val="nil"/>
              <w:bottom w:val="nil"/>
              <w:right w:val="nil"/>
            </w:tcBorders>
            <w:shd w:val="clear" w:color="auto" w:fill="auto"/>
            <w:vAlign w:val="center"/>
          </w:tcPr>
          <w:p w14:paraId="519D0120">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r>
              <w:rPr>
                <w:rFonts w:hint="default" w:ascii="Times New Roman" w:hAnsi="Times New Roman" w:eastAsia="宋体" w:cs="Times New Roman"/>
                <w:color w:val="000000"/>
                <w:kern w:val="0"/>
                <w:sz w:val="22"/>
                <w:szCs w:val="20"/>
              </w:rPr>
              <w:t xml:space="preserve">4.80 </w:t>
            </w:r>
          </w:p>
        </w:tc>
        <w:tc>
          <w:tcPr>
            <w:tcW w:w="51" w:type="pct"/>
            <w:tcBorders>
              <w:top w:val="nil"/>
              <w:left w:val="nil"/>
              <w:bottom w:val="nil"/>
              <w:right w:val="nil"/>
            </w:tcBorders>
            <w:vAlign w:val="center"/>
          </w:tcPr>
          <w:p w14:paraId="0F41035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0" w:type="pct"/>
            <w:tcBorders>
              <w:top w:val="nil"/>
              <w:left w:val="nil"/>
              <w:bottom w:val="nil"/>
              <w:right w:val="nil"/>
            </w:tcBorders>
            <w:shd w:val="clear" w:color="auto" w:fill="auto"/>
            <w:vAlign w:val="center"/>
          </w:tcPr>
          <w:p w14:paraId="4C2ADF5A">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r>
              <w:rPr>
                <w:rFonts w:hint="default" w:ascii="Times New Roman" w:hAnsi="Times New Roman" w:eastAsia="宋体" w:cs="Times New Roman"/>
                <w:color w:val="000000"/>
                <w:kern w:val="0"/>
                <w:sz w:val="22"/>
                <w:szCs w:val="20"/>
              </w:rPr>
              <w:t>6285.49</w:t>
            </w:r>
          </w:p>
        </w:tc>
        <w:tc>
          <w:tcPr>
            <w:tcW w:w="283" w:type="pct"/>
            <w:tcBorders>
              <w:top w:val="nil"/>
              <w:left w:val="nil"/>
              <w:bottom w:val="nil"/>
              <w:right w:val="nil"/>
            </w:tcBorders>
            <w:shd w:val="clear" w:color="auto" w:fill="auto"/>
            <w:vAlign w:val="center"/>
          </w:tcPr>
          <w:p w14:paraId="23C74DFF">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r>
              <w:rPr>
                <w:rFonts w:hint="eastAsia" w:ascii="Times New Roman" w:hAnsi="Times New Roman" w:eastAsia="宋体" w:cs="Times New Roman"/>
                <w:color w:val="000000"/>
                <w:kern w:val="0"/>
                <w:sz w:val="22"/>
                <w:szCs w:val="20"/>
              </w:rPr>
              <w:t>9</w:t>
            </w:r>
            <w:r>
              <w:rPr>
                <w:rFonts w:hint="default" w:ascii="Times New Roman" w:hAnsi="Times New Roman" w:eastAsia="宋体" w:cs="Times New Roman"/>
                <w:color w:val="000000"/>
                <w:kern w:val="0"/>
                <w:sz w:val="22"/>
                <w:szCs w:val="20"/>
              </w:rPr>
              <w:t>.19</w:t>
            </w:r>
          </w:p>
        </w:tc>
      </w:tr>
      <w:tr w14:paraId="7EB5F0F7">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97" w:hRule="atLeast"/>
        </w:trPr>
        <w:tc>
          <w:tcPr>
            <w:tcW w:w="253" w:type="pct"/>
            <w:vMerge w:val="continue"/>
            <w:tcBorders>
              <w:left w:val="nil"/>
              <w:right w:val="nil"/>
            </w:tcBorders>
            <w:vAlign w:val="center"/>
          </w:tcPr>
          <w:p w14:paraId="3E4F4B4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p>
        </w:tc>
        <w:tc>
          <w:tcPr>
            <w:tcW w:w="253" w:type="pct"/>
            <w:vMerge w:val="continue"/>
            <w:tcBorders>
              <w:left w:val="nil"/>
              <w:bottom w:val="single" w:color="auto" w:sz="4" w:space="0"/>
              <w:right w:val="nil"/>
            </w:tcBorders>
            <w:vAlign w:val="center"/>
          </w:tcPr>
          <w:p w14:paraId="0307C40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p>
        </w:tc>
        <w:tc>
          <w:tcPr>
            <w:tcW w:w="302" w:type="pct"/>
            <w:tcBorders>
              <w:top w:val="nil"/>
              <w:left w:val="nil"/>
              <w:bottom w:val="single" w:color="auto" w:sz="4" w:space="0"/>
              <w:right w:val="nil"/>
            </w:tcBorders>
            <w:vAlign w:val="center"/>
          </w:tcPr>
          <w:p w14:paraId="5BF8F7B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eastAsia" w:ascii="Times New Roman" w:hAnsi="Times New Roman" w:eastAsia="仿宋" w:cs="Times New Roman"/>
                <w:kern w:val="0"/>
                <w:sz w:val="22"/>
                <w:szCs w:val="24"/>
              </w:rPr>
              <w:t>站台</w:t>
            </w:r>
          </w:p>
        </w:tc>
        <w:tc>
          <w:tcPr>
            <w:tcW w:w="303" w:type="pct"/>
            <w:tcBorders>
              <w:top w:val="nil"/>
              <w:left w:val="nil"/>
              <w:bottom w:val="single" w:color="auto" w:sz="4" w:space="0"/>
              <w:right w:val="nil"/>
            </w:tcBorders>
            <w:vAlign w:val="center"/>
          </w:tcPr>
          <w:p w14:paraId="7944353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bCs/>
                <w:kern w:val="0"/>
                <w:sz w:val="22"/>
                <w:szCs w:val="24"/>
              </w:rPr>
            </w:pPr>
            <w:r>
              <w:rPr>
                <w:rFonts w:hint="eastAsia" w:ascii="Times New Roman" w:hAnsi="Times New Roman" w:eastAsia="仿宋" w:cs="Times New Roman"/>
                <w:bCs/>
                <w:kern w:val="0"/>
                <w:sz w:val="22"/>
                <w:szCs w:val="24"/>
              </w:rPr>
              <w:t>4</w:t>
            </w:r>
            <w:r>
              <w:rPr>
                <w:rFonts w:hint="default" w:ascii="Times New Roman" w:hAnsi="Times New Roman" w:eastAsia="仿宋" w:cs="Times New Roman"/>
                <w:bCs/>
                <w:kern w:val="0"/>
                <w:sz w:val="22"/>
                <w:szCs w:val="24"/>
              </w:rPr>
              <w:t>0</w:t>
            </w:r>
          </w:p>
        </w:tc>
        <w:tc>
          <w:tcPr>
            <w:tcW w:w="606" w:type="pct"/>
            <w:tcBorders>
              <w:top w:val="nil"/>
              <w:left w:val="nil"/>
              <w:bottom w:val="single" w:color="auto" w:sz="4" w:space="0"/>
              <w:right w:val="nil"/>
            </w:tcBorders>
            <w:vAlign w:val="center"/>
          </w:tcPr>
          <w:p w14:paraId="48BB95D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2</w:t>
            </w:r>
            <w:r>
              <w:rPr>
                <w:rFonts w:hint="default" w:ascii="Times New Roman" w:hAnsi="Times New Roman" w:eastAsia="仿宋" w:cs="Times New Roman"/>
                <w:color w:val="000000"/>
                <w:kern w:val="0"/>
                <w:sz w:val="22"/>
                <w:szCs w:val="24"/>
              </w:rPr>
              <w:t>878.50</w:t>
            </w:r>
            <w:r>
              <w:rPr>
                <w:rFonts w:hint="default" w:ascii="Times New Roman" w:hAnsi="Times New Roman" w:eastAsia="仿宋" w:cs="Times New Roman"/>
                <w:kern w:val="0"/>
                <w:sz w:val="22"/>
                <w:szCs w:val="24"/>
              </w:rPr>
              <w:t>±1362.43</w:t>
            </w:r>
          </w:p>
        </w:tc>
        <w:tc>
          <w:tcPr>
            <w:tcW w:w="27" w:type="pct"/>
            <w:tcBorders>
              <w:top w:val="nil"/>
              <w:left w:val="nil"/>
              <w:bottom w:val="single" w:color="auto" w:sz="4" w:space="0"/>
              <w:right w:val="nil"/>
            </w:tcBorders>
            <w:vAlign w:val="center"/>
          </w:tcPr>
          <w:p w14:paraId="5F703EE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6" w:type="pct"/>
            <w:tcBorders>
              <w:top w:val="nil"/>
              <w:left w:val="nil"/>
              <w:bottom w:val="single" w:color="auto" w:sz="4" w:space="0"/>
              <w:right w:val="nil"/>
            </w:tcBorders>
            <w:vAlign w:val="center"/>
          </w:tcPr>
          <w:p w14:paraId="702B2AE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4</w:t>
            </w:r>
            <w:r>
              <w:rPr>
                <w:rFonts w:hint="default" w:ascii="Times New Roman" w:hAnsi="Times New Roman" w:eastAsia="仿宋" w:cs="Times New Roman"/>
                <w:color w:val="000000"/>
                <w:kern w:val="0"/>
                <w:sz w:val="22"/>
                <w:szCs w:val="24"/>
              </w:rPr>
              <w:t>0</w:t>
            </w:r>
          </w:p>
        </w:tc>
        <w:tc>
          <w:tcPr>
            <w:tcW w:w="653" w:type="pct"/>
            <w:tcBorders>
              <w:top w:val="nil"/>
              <w:left w:val="nil"/>
              <w:bottom w:val="single" w:color="auto" w:sz="4" w:space="0"/>
              <w:right w:val="nil"/>
            </w:tcBorders>
            <w:vAlign w:val="center"/>
          </w:tcPr>
          <w:p w14:paraId="4319656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5</w:t>
            </w:r>
            <w:r>
              <w:rPr>
                <w:rFonts w:hint="default" w:ascii="Times New Roman" w:hAnsi="Times New Roman" w:eastAsia="仿宋" w:cs="Times New Roman"/>
                <w:color w:val="000000"/>
                <w:kern w:val="0"/>
                <w:sz w:val="22"/>
                <w:szCs w:val="24"/>
              </w:rPr>
              <w:t>82.51</w:t>
            </w:r>
            <w:r>
              <w:rPr>
                <w:rFonts w:hint="default" w:ascii="Times New Roman" w:hAnsi="Times New Roman" w:eastAsia="仿宋" w:cs="Times New Roman"/>
                <w:kern w:val="0"/>
                <w:sz w:val="22"/>
                <w:szCs w:val="24"/>
              </w:rPr>
              <w:t>±221.03</w:t>
            </w:r>
          </w:p>
        </w:tc>
        <w:tc>
          <w:tcPr>
            <w:tcW w:w="23" w:type="pct"/>
            <w:tcBorders>
              <w:top w:val="nil"/>
              <w:left w:val="nil"/>
              <w:bottom w:val="single" w:color="auto" w:sz="4" w:space="0"/>
              <w:right w:val="nil"/>
            </w:tcBorders>
            <w:vAlign w:val="center"/>
          </w:tcPr>
          <w:p w14:paraId="40536AD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286" w:type="pct"/>
            <w:tcBorders>
              <w:top w:val="nil"/>
              <w:left w:val="nil"/>
              <w:bottom w:val="single" w:color="auto" w:sz="4" w:space="0"/>
              <w:right w:val="nil"/>
            </w:tcBorders>
            <w:vAlign w:val="center"/>
          </w:tcPr>
          <w:p w14:paraId="5B36BF2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1</w:t>
            </w:r>
            <w:r>
              <w:rPr>
                <w:rFonts w:hint="default" w:ascii="Times New Roman" w:hAnsi="Times New Roman" w:eastAsia="仿宋" w:cs="Times New Roman"/>
                <w:color w:val="000000"/>
                <w:kern w:val="0"/>
                <w:sz w:val="22"/>
                <w:szCs w:val="24"/>
              </w:rPr>
              <w:t>0</w:t>
            </w:r>
          </w:p>
        </w:tc>
        <w:tc>
          <w:tcPr>
            <w:tcW w:w="622" w:type="pct"/>
            <w:tcBorders>
              <w:top w:val="nil"/>
              <w:left w:val="nil"/>
              <w:bottom w:val="single" w:color="auto" w:sz="4" w:space="0"/>
              <w:right w:val="nil"/>
            </w:tcBorders>
            <w:vAlign w:val="center"/>
          </w:tcPr>
          <w:p w14:paraId="5E5111F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4</w:t>
            </w:r>
            <w:r>
              <w:rPr>
                <w:rFonts w:hint="default" w:ascii="Times New Roman" w:hAnsi="Times New Roman" w:eastAsia="仿宋" w:cs="Times New Roman"/>
                <w:color w:val="000000"/>
                <w:kern w:val="0"/>
                <w:sz w:val="22"/>
                <w:szCs w:val="24"/>
              </w:rPr>
              <w:t>02.11</w:t>
            </w:r>
            <w:r>
              <w:rPr>
                <w:rFonts w:hint="default" w:ascii="Times New Roman" w:hAnsi="Times New Roman" w:eastAsia="仿宋" w:cs="Times New Roman"/>
                <w:kern w:val="0"/>
                <w:sz w:val="22"/>
                <w:szCs w:val="24"/>
              </w:rPr>
              <w:t>±82.60</w:t>
            </w:r>
          </w:p>
        </w:tc>
        <w:tc>
          <w:tcPr>
            <w:tcW w:w="49" w:type="pct"/>
            <w:tcBorders>
              <w:top w:val="nil"/>
              <w:left w:val="nil"/>
              <w:bottom w:val="single" w:color="auto" w:sz="4" w:space="0"/>
              <w:right w:val="nil"/>
            </w:tcBorders>
            <w:vAlign w:val="center"/>
          </w:tcPr>
          <w:p w14:paraId="672B0AC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58" w:type="pct"/>
            <w:tcBorders>
              <w:top w:val="nil"/>
              <w:left w:val="nil"/>
              <w:bottom w:val="nil"/>
              <w:right w:val="nil"/>
            </w:tcBorders>
            <w:shd w:val="clear" w:color="auto" w:fill="auto"/>
            <w:vAlign w:val="center"/>
          </w:tcPr>
          <w:p w14:paraId="7949F452">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r>
              <w:rPr>
                <w:rFonts w:hint="default" w:ascii="Times New Roman" w:hAnsi="Times New Roman" w:eastAsia="宋体" w:cs="Times New Roman"/>
                <w:color w:val="000000"/>
                <w:kern w:val="0"/>
                <w:sz w:val="22"/>
                <w:szCs w:val="20"/>
              </w:rPr>
              <w:t>2295.99</w:t>
            </w:r>
          </w:p>
        </w:tc>
        <w:tc>
          <w:tcPr>
            <w:tcW w:w="285" w:type="pct"/>
            <w:tcBorders>
              <w:top w:val="nil"/>
              <w:left w:val="nil"/>
              <w:bottom w:val="nil"/>
              <w:right w:val="nil"/>
            </w:tcBorders>
            <w:shd w:val="clear" w:color="auto" w:fill="auto"/>
            <w:vAlign w:val="center"/>
          </w:tcPr>
          <w:p w14:paraId="252EE12E">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r>
              <w:rPr>
                <w:rFonts w:hint="default" w:ascii="Times New Roman" w:hAnsi="Times New Roman" w:eastAsia="宋体" w:cs="Times New Roman"/>
                <w:color w:val="000000"/>
                <w:kern w:val="0"/>
                <w:sz w:val="22"/>
                <w:szCs w:val="20"/>
              </w:rPr>
              <w:t xml:space="preserve">4.94 </w:t>
            </w:r>
          </w:p>
        </w:tc>
        <w:tc>
          <w:tcPr>
            <w:tcW w:w="51" w:type="pct"/>
            <w:tcBorders>
              <w:top w:val="nil"/>
              <w:left w:val="nil"/>
              <w:bottom w:val="single" w:color="auto" w:sz="4" w:space="0"/>
              <w:right w:val="nil"/>
            </w:tcBorders>
            <w:vAlign w:val="center"/>
          </w:tcPr>
          <w:p w14:paraId="1281711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0" w:type="pct"/>
            <w:tcBorders>
              <w:top w:val="nil"/>
              <w:left w:val="nil"/>
              <w:bottom w:val="nil"/>
              <w:right w:val="nil"/>
            </w:tcBorders>
            <w:shd w:val="clear" w:color="auto" w:fill="auto"/>
            <w:vAlign w:val="center"/>
          </w:tcPr>
          <w:p w14:paraId="0ADB3401">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r>
              <w:rPr>
                <w:rFonts w:hint="default" w:ascii="Times New Roman" w:hAnsi="Times New Roman" w:eastAsia="宋体" w:cs="Times New Roman"/>
                <w:color w:val="000000"/>
                <w:kern w:val="0"/>
                <w:sz w:val="22"/>
                <w:szCs w:val="20"/>
              </w:rPr>
              <w:t>2476.39</w:t>
            </w:r>
          </w:p>
        </w:tc>
        <w:tc>
          <w:tcPr>
            <w:tcW w:w="283" w:type="pct"/>
            <w:tcBorders>
              <w:top w:val="nil"/>
              <w:left w:val="nil"/>
              <w:bottom w:val="single" w:color="auto" w:sz="4" w:space="0"/>
              <w:right w:val="nil"/>
            </w:tcBorders>
            <w:shd w:val="clear" w:color="auto" w:fill="auto"/>
            <w:vAlign w:val="center"/>
          </w:tcPr>
          <w:p w14:paraId="1666BEE4">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r>
              <w:rPr>
                <w:rFonts w:hint="eastAsia" w:ascii="Times New Roman" w:hAnsi="Times New Roman" w:eastAsia="宋体" w:cs="Times New Roman"/>
                <w:color w:val="000000"/>
                <w:kern w:val="0"/>
                <w:sz w:val="22"/>
                <w:szCs w:val="20"/>
              </w:rPr>
              <w:t>7</w:t>
            </w:r>
            <w:r>
              <w:rPr>
                <w:rFonts w:hint="default" w:ascii="Times New Roman" w:hAnsi="Times New Roman" w:eastAsia="宋体" w:cs="Times New Roman"/>
                <w:color w:val="000000"/>
                <w:kern w:val="0"/>
                <w:sz w:val="22"/>
                <w:szCs w:val="20"/>
              </w:rPr>
              <w:t>.16</w:t>
            </w:r>
          </w:p>
        </w:tc>
      </w:tr>
      <w:tr w14:paraId="5162F0D6">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97" w:hRule="atLeast"/>
        </w:trPr>
        <w:tc>
          <w:tcPr>
            <w:tcW w:w="253" w:type="pct"/>
            <w:vMerge w:val="continue"/>
            <w:tcBorders>
              <w:left w:val="nil"/>
              <w:bottom w:val="single" w:color="auto" w:sz="4" w:space="0"/>
              <w:right w:val="nil"/>
            </w:tcBorders>
            <w:vAlign w:val="center"/>
          </w:tcPr>
          <w:p w14:paraId="24EA202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p>
        </w:tc>
        <w:tc>
          <w:tcPr>
            <w:tcW w:w="253" w:type="pct"/>
            <w:tcBorders>
              <w:top w:val="single" w:color="auto" w:sz="4" w:space="0"/>
              <w:left w:val="nil"/>
              <w:bottom w:val="single" w:color="auto" w:sz="4" w:space="0"/>
              <w:right w:val="nil"/>
            </w:tcBorders>
            <w:vAlign w:val="center"/>
          </w:tcPr>
          <w:p w14:paraId="44E04BB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eastAsia" w:ascii="Times New Roman" w:hAnsi="Times New Roman" w:eastAsia="仿宋" w:cs="Times New Roman"/>
                <w:kern w:val="0"/>
                <w:sz w:val="22"/>
                <w:szCs w:val="24"/>
              </w:rPr>
              <w:t>合计</w:t>
            </w:r>
          </w:p>
        </w:tc>
        <w:tc>
          <w:tcPr>
            <w:tcW w:w="302" w:type="pct"/>
            <w:tcBorders>
              <w:top w:val="single" w:color="auto" w:sz="4" w:space="0"/>
              <w:left w:val="nil"/>
              <w:bottom w:val="nil"/>
              <w:right w:val="nil"/>
            </w:tcBorders>
            <w:vAlign w:val="center"/>
          </w:tcPr>
          <w:p w14:paraId="6BC5734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p>
        </w:tc>
        <w:tc>
          <w:tcPr>
            <w:tcW w:w="303" w:type="pct"/>
            <w:tcBorders>
              <w:top w:val="single" w:color="auto" w:sz="4" w:space="0"/>
              <w:left w:val="nil"/>
              <w:bottom w:val="nil"/>
              <w:right w:val="nil"/>
            </w:tcBorders>
            <w:vAlign w:val="center"/>
          </w:tcPr>
          <w:p w14:paraId="10E3ABA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bCs/>
                <w:kern w:val="0"/>
                <w:sz w:val="22"/>
                <w:szCs w:val="24"/>
              </w:rPr>
            </w:pPr>
            <w:r>
              <w:rPr>
                <w:rFonts w:hint="eastAsia" w:ascii="Times New Roman" w:hAnsi="Times New Roman" w:eastAsia="仿宋" w:cs="Times New Roman"/>
                <w:bCs/>
                <w:kern w:val="0"/>
                <w:sz w:val="22"/>
                <w:szCs w:val="24"/>
              </w:rPr>
              <w:t>8</w:t>
            </w:r>
            <w:r>
              <w:rPr>
                <w:rFonts w:hint="default" w:ascii="Times New Roman" w:hAnsi="Times New Roman" w:eastAsia="仿宋" w:cs="Times New Roman"/>
                <w:bCs/>
                <w:kern w:val="0"/>
                <w:sz w:val="22"/>
                <w:szCs w:val="24"/>
              </w:rPr>
              <w:t>0</w:t>
            </w:r>
          </w:p>
        </w:tc>
        <w:tc>
          <w:tcPr>
            <w:tcW w:w="606" w:type="pct"/>
            <w:tcBorders>
              <w:top w:val="single" w:color="auto" w:sz="4" w:space="0"/>
              <w:left w:val="nil"/>
              <w:bottom w:val="nil"/>
              <w:right w:val="nil"/>
            </w:tcBorders>
            <w:vAlign w:val="center"/>
          </w:tcPr>
          <w:p w14:paraId="093C14A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4</w:t>
            </w:r>
            <w:r>
              <w:rPr>
                <w:rFonts w:hint="default" w:ascii="Times New Roman" w:hAnsi="Times New Roman" w:eastAsia="仿宋" w:cs="Times New Roman"/>
                <w:color w:val="000000"/>
                <w:kern w:val="0"/>
                <w:sz w:val="22"/>
                <w:szCs w:val="24"/>
              </w:rPr>
              <w:t>965.75</w:t>
            </w:r>
            <w:r>
              <w:rPr>
                <w:rFonts w:hint="default" w:ascii="Times New Roman" w:hAnsi="Times New Roman" w:eastAsia="仿宋" w:cs="Times New Roman"/>
                <w:kern w:val="0"/>
                <w:sz w:val="22"/>
                <w:szCs w:val="24"/>
              </w:rPr>
              <w:t>±2982.45</w:t>
            </w:r>
          </w:p>
        </w:tc>
        <w:tc>
          <w:tcPr>
            <w:tcW w:w="27" w:type="pct"/>
            <w:tcBorders>
              <w:top w:val="single" w:color="auto" w:sz="4" w:space="0"/>
              <w:left w:val="nil"/>
              <w:bottom w:val="nil"/>
              <w:right w:val="nil"/>
            </w:tcBorders>
            <w:vAlign w:val="center"/>
          </w:tcPr>
          <w:p w14:paraId="60F2453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6" w:type="pct"/>
            <w:tcBorders>
              <w:top w:val="single" w:color="auto" w:sz="4" w:space="0"/>
              <w:left w:val="nil"/>
              <w:bottom w:val="nil"/>
              <w:right w:val="nil"/>
            </w:tcBorders>
            <w:vAlign w:val="center"/>
          </w:tcPr>
          <w:p w14:paraId="4955CE9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8</w:t>
            </w:r>
            <w:r>
              <w:rPr>
                <w:rFonts w:hint="default" w:ascii="Times New Roman" w:hAnsi="Times New Roman" w:eastAsia="仿宋" w:cs="Times New Roman"/>
                <w:color w:val="000000"/>
                <w:kern w:val="0"/>
                <w:sz w:val="22"/>
                <w:szCs w:val="24"/>
              </w:rPr>
              <w:t>0</w:t>
            </w:r>
          </w:p>
        </w:tc>
        <w:tc>
          <w:tcPr>
            <w:tcW w:w="653" w:type="pct"/>
            <w:tcBorders>
              <w:top w:val="single" w:color="auto" w:sz="4" w:space="0"/>
              <w:left w:val="nil"/>
              <w:bottom w:val="nil"/>
              <w:right w:val="nil"/>
            </w:tcBorders>
            <w:vAlign w:val="center"/>
          </w:tcPr>
          <w:p w14:paraId="7BE3EDA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1</w:t>
            </w:r>
            <w:r>
              <w:rPr>
                <w:rFonts w:hint="default" w:ascii="Times New Roman" w:hAnsi="Times New Roman" w:eastAsia="仿宋" w:cs="Times New Roman"/>
                <w:color w:val="000000"/>
                <w:kern w:val="0"/>
                <w:sz w:val="22"/>
                <w:szCs w:val="24"/>
              </w:rPr>
              <w:t>026.59</w:t>
            </w:r>
            <w:r>
              <w:rPr>
                <w:rFonts w:hint="default" w:ascii="Times New Roman" w:hAnsi="Times New Roman" w:eastAsia="仿宋" w:cs="Times New Roman"/>
                <w:kern w:val="0"/>
                <w:sz w:val="22"/>
                <w:szCs w:val="24"/>
              </w:rPr>
              <w:t>±632.43</w:t>
            </w:r>
          </w:p>
        </w:tc>
        <w:tc>
          <w:tcPr>
            <w:tcW w:w="23" w:type="pct"/>
            <w:tcBorders>
              <w:top w:val="single" w:color="auto" w:sz="4" w:space="0"/>
              <w:left w:val="nil"/>
              <w:bottom w:val="nil"/>
              <w:right w:val="nil"/>
            </w:tcBorders>
            <w:vAlign w:val="center"/>
          </w:tcPr>
          <w:p w14:paraId="72219F6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286" w:type="pct"/>
            <w:tcBorders>
              <w:top w:val="single" w:color="auto" w:sz="4" w:space="0"/>
              <w:left w:val="nil"/>
              <w:bottom w:val="nil"/>
              <w:right w:val="nil"/>
            </w:tcBorders>
            <w:vAlign w:val="center"/>
          </w:tcPr>
          <w:p w14:paraId="0EECE3A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2</w:t>
            </w:r>
            <w:r>
              <w:rPr>
                <w:rFonts w:hint="default" w:ascii="Times New Roman" w:hAnsi="Times New Roman" w:eastAsia="仿宋" w:cs="Times New Roman"/>
                <w:color w:val="000000"/>
                <w:kern w:val="0"/>
                <w:sz w:val="22"/>
                <w:szCs w:val="24"/>
              </w:rPr>
              <w:t>0</w:t>
            </w:r>
          </w:p>
        </w:tc>
        <w:tc>
          <w:tcPr>
            <w:tcW w:w="622" w:type="pct"/>
            <w:tcBorders>
              <w:top w:val="single" w:color="auto" w:sz="4" w:space="0"/>
              <w:left w:val="nil"/>
              <w:bottom w:val="nil"/>
              <w:right w:val="nil"/>
            </w:tcBorders>
            <w:vAlign w:val="center"/>
          </w:tcPr>
          <w:p w14:paraId="30E617D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5</w:t>
            </w:r>
            <w:r>
              <w:rPr>
                <w:rFonts w:hint="default" w:ascii="Times New Roman" w:hAnsi="Times New Roman" w:eastAsia="仿宋" w:cs="Times New Roman"/>
                <w:color w:val="000000"/>
                <w:kern w:val="0"/>
                <w:sz w:val="22"/>
                <w:szCs w:val="24"/>
              </w:rPr>
              <w:t>84.81</w:t>
            </w:r>
            <w:r>
              <w:rPr>
                <w:rFonts w:hint="default" w:ascii="Times New Roman" w:hAnsi="Times New Roman" w:eastAsia="仿宋" w:cs="Times New Roman"/>
                <w:kern w:val="0"/>
                <w:sz w:val="22"/>
                <w:szCs w:val="24"/>
              </w:rPr>
              <w:t>±212.30</w:t>
            </w:r>
          </w:p>
        </w:tc>
        <w:tc>
          <w:tcPr>
            <w:tcW w:w="49" w:type="pct"/>
            <w:tcBorders>
              <w:top w:val="single" w:color="auto" w:sz="4" w:space="0"/>
              <w:left w:val="nil"/>
              <w:bottom w:val="nil"/>
              <w:right w:val="nil"/>
            </w:tcBorders>
            <w:vAlign w:val="center"/>
          </w:tcPr>
          <w:p w14:paraId="062C95D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58" w:type="pct"/>
            <w:tcBorders>
              <w:top w:val="single" w:color="auto" w:sz="4" w:space="0"/>
              <w:left w:val="nil"/>
              <w:bottom w:val="single" w:color="auto" w:sz="4" w:space="0"/>
              <w:right w:val="nil"/>
            </w:tcBorders>
            <w:shd w:val="clear" w:color="auto" w:fill="auto"/>
            <w:vAlign w:val="center"/>
          </w:tcPr>
          <w:p w14:paraId="777CA4E1">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r>
              <w:rPr>
                <w:rFonts w:hint="eastAsia" w:ascii="Times New Roman" w:hAnsi="Times New Roman" w:eastAsia="宋体" w:cs="Times New Roman"/>
                <w:color w:val="000000"/>
                <w:kern w:val="0"/>
                <w:sz w:val="22"/>
                <w:szCs w:val="20"/>
              </w:rPr>
              <w:t>3</w:t>
            </w:r>
            <w:r>
              <w:rPr>
                <w:rFonts w:hint="default" w:ascii="Times New Roman" w:hAnsi="Times New Roman" w:eastAsia="宋体" w:cs="Times New Roman"/>
                <w:color w:val="000000"/>
                <w:kern w:val="0"/>
                <w:sz w:val="22"/>
                <w:szCs w:val="20"/>
              </w:rPr>
              <w:t>939.16</w:t>
            </w:r>
          </w:p>
        </w:tc>
        <w:tc>
          <w:tcPr>
            <w:tcW w:w="285" w:type="pct"/>
            <w:tcBorders>
              <w:top w:val="single" w:color="auto" w:sz="4" w:space="0"/>
              <w:left w:val="nil"/>
              <w:bottom w:val="single" w:color="auto" w:sz="4" w:space="0"/>
              <w:right w:val="nil"/>
            </w:tcBorders>
            <w:shd w:val="clear" w:color="auto" w:fill="auto"/>
            <w:vAlign w:val="center"/>
          </w:tcPr>
          <w:p w14:paraId="03CE34CB">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r>
              <w:rPr>
                <w:rFonts w:hint="default" w:ascii="Times New Roman" w:hAnsi="Times New Roman" w:eastAsia="宋体" w:cs="Times New Roman"/>
                <w:color w:val="000000"/>
                <w:kern w:val="0"/>
                <w:sz w:val="22"/>
                <w:szCs w:val="20"/>
              </w:rPr>
              <w:t>4.84</w:t>
            </w:r>
          </w:p>
        </w:tc>
        <w:tc>
          <w:tcPr>
            <w:tcW w:w="51" w:type="pct"/>
            <w:tcBorders>
              <w:top w:val="single" w:color="auto" w:sz="4" w:space="0"/>
              <w:left w:val="nil"/>
              <w:bottom w:val="single" w:color="auto" w:sz="4" w:space="0"/>
              <w:right w:val="nil"/>
            </w:tcBorders>
            <w:vAlign w:val="center"/>
          </w:tcPr>
          <w:p w14:paraId="18CBF65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0" w:type="pct"/>
            <w:tcBorders>
              <w:top w:val="single" w:color="auto" w:sz="4" w:space="0"/>
              <w:left w:val="nil"/>
              <w:bottom w:val="single" w:color="auto" w:sz="4" w:space="0"/>
              <w:right w:val="nil"/>
            </w:tcBorders>
            <w:shd w:val="clear" w:color="auto" w:fill="auto"/>
            <w:vAlign w:val="center"/>
          </w:tcPr>
          <w:p w14:paraId="63B6099F">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r>
              <w:rPr>
                <w:rFonts w:hint="default" w:ascii="Times New Roman" w:hAnsi="Times New Roman" w:eastAsia="宋体" w:cs="Times New Roman"/>
                <w:color w:val="000000"/>
                <w:kern w:val="0"/>
                <w:sz w:val="22"/>
                <w:szCs w:val="20"/>
              </w:rPr>
              <w:t>4380.94</w:t>
            </w:r>
          </w:p>
        </w:tc>
        <w:tc>
          <w:tcPr>
            <w:tcW w:w="283" w:type="pct"/>
            <w:tcBorders>
              <w:top w:val="single" w:color="auto" w:sz="4" w:space="0"/>
              <w:left w:val="nil"/>
              <w:bottom w:val="single" w:color="auto" w:sz="4" w:space="0"/>
              <w:right w:val="nil"/>
            </w:tcBorders>
            <w:shd w:val="clear" w:color="auto" w:fill="auto"/>
            <w:vAlign w:val="center"/>
          </w:tcPr>
          <w:p w14:paraId="599C046F">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000000"/>
                <w:kern w:val="0"/>
                <w:sz w:val="22"/>
                <w:szCs w:val="20"/>
              </w:rPr>
            </w:pPr>
            <w:r>
              <w:rPr>
                <w:rFonts w:hint="eastAsia" w:ascii="Times New Roman" w:hAnsi="Times New Roman" w:eastAsia="宋体" w:cs="Times New Roman"/>
                <w:color w:val="000000"/>
                <w:kern w:val="0"/>
                <w:sz w:val="22"/>
                <w:szCs w:val="20"/>
              </w:rPr>
              <w:t>8</w:t>
            </w:r>
            <w:r>
              <w:rPr>
                <w:rFonts w:hint="default" w:ascii="Times New Roman" w:hAnsi="Times New Roman" w:eastAsia="宋体" w:cs="Times New Roman"/>
                <w:color w:val="000000"/>
                <w:kern w:val="0"/>
                <w:sz w:val="22"/>
                <w:szCs w:val="20"/>
              </w:rPr>
              <w:t>.49</w:t>
            </w:r>
          </w:p>
        </w:tc>
      </w:tr>
      <w:tr w14:paraId="01B672BF">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97" w:hRule="atLeast"/>
        </w:trPr>
        <w:tc>
          <w:tcPr>
            <w:tcW w:w="253" w:type="pct"/>
            <w:vMerge w:val="restart"/>
            <w:tcBorders>
              <w:top w:val="single" w:color="auto" w:sz="4" w:space="0"/>
              <w:left w:val="nil"/>
              <w:bottom w:val="single" w:color="auto" w:sz="4" w:space="0"/>
              <w:right w:val="nil"/>
            </w:tcBorders>
            <w:vAlign w:val="center"/>
          </w:tcPr>
          <w:p w14:paraId="5BBE2BC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eastAsia" w:ascii="Times New Roman" w:hAnsi="Times New Roman" w:eastAsia="仿宋" w:cs="Times New Roman"/>
                <w:kern w:val="0"/>
                <w:sz w:val="22"/>
                <w:szCs w:val="24"/>
              </w:rPr>
              <w:t>冬季</w:t>
            </w:r>
          </w:p>
        </w:tc>
        <w:tc>
          <w:tcPr>
            <w:tcW w:w="253" w:type="pct"/>
            <w:vMerge w:val="restart"/>
            <w:tcBorders>
              <w:top w:val="single" w:color="auto" w:sz="4" w:space="0"/>
              <w:left w:val="nil"/>
              <w:bottom w:val="nil"/>
              <w:right w:val="nil"/>
            </w:tcBorders>
            <w:vAlign w:val="center"/>
          </w:tcPr>
          <w:p w14:paraId="29A1D8D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上午</w:t>
            </w:r>
          </w:p>
        </w:tc>
        <w:tc>
          <w:tcPr>
            <w:tcW w:w="302" w:type="pct"/>
            <w:tcBorders>
              <w:top w:val="single" w:color="auto" w:sz="6" w:space="0"/>
              <w:left w:val="nil"/>
              <w:bottom w:val="nil"/>
              <w:right w:val="nil"/>
            </w:tcBorders>
            <w:vAlign w:val="center"/>
          </w:tcPr>
          <w:p w14:paraId="41098E3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站厅</w:t>
            </w:r>
          </w:p>
        </w:tc>
        <w:tc>
          <w:tcPr>
            <w:tcW w:w="303" w:type="pct"/>
            <w:tcBorders>
              <w:top w:val="single" w:color="auto" w:sz="6" w:space="0"/>
              <w:left w:val="nil"/>
              <w:bottom w:val="nil"/>
              <w:right w:val="nil"/>
            </w:tcBorders>
            <w:vAlign w:val="center"/>
          </w:tcPr>
          <w:p w14:paraId="26A2D94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bCs/>
                <w:kern w:val="0"/>
                <w:sz w:val="22"/>
                <w:szCs w:val="24"/>
              </w:rPr>
            </w:pPr>
            <w:r>
              <w:rPr>
                <w:rFonts w:hint="eastAsia" w:ascii="Times New Roman" w:hAnsi="Times New Roman" w:eastAsia="仿宋" w:cs="Times New Roman"/>
                <w:bCs/>
                <w:kern w:val="0"/>
                <w:sz w:val="22"/>
                <w:szCs w:val="24"/>
              </w:rPr>
              <w:t>2</w:t>
            </w:r>
            <w:r>
              <w:rPr>
                <w:rFonts w:hint="default" w:ascii="Times New Roman" w:hAnsi="Times New Roman" w:eastAsia="仿宋" w:cs="Times New Roman"/>
                <w:bCs/>
                <w:kern w:val="0"/>
                <w:sz w:val="22"/>
                <w:szCs w:val="24"/>
              </w:rPr>
              <w:t>0</w:t>
            </w:r>
          </w:p>
        </w:tc>
        <w:tc>
          <w:tcPr>
            <w:tcW w:w="606" w:type="pct"/>
            <w:tcBorders>
              <w:top w:val="single" w:color="auto" w:sz="6" w:space="0"/>
              <w:left w:val="nil"/>
              <w:bottom w:val="nil"/>
              <w:right w:val="nil"/>
            </w:tcBorders>
            <w:vAlign w:val="center"/>
          </w:tcPr>
          <w:p w14:paraId="50777E0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3</w:t>
            </w:r>
            <w:r>
              <w:rPr>
                <w:rFonts w:hint="default" w:ascii="Times New Roman" w:hAnsi="Times New Roman" w:eastAsia="仿宋" w:cs="Times New Roman"/>
                <w:color w:val="000000"/>
                <w:kern w:val="0"/>
                <w:sz w:val="22"/>
                <w:szCs w:val="24"/>
              </w:rPr>
              <w:t>482.00</w:t>
            </w:r>
            <w:r>
              <w:rPr>
                <w:rFonts w:hint="default" w:ascii="Times New Roman" w:hAnsi="Times New Roman" w:eastAsia="仿宋" w:cs="Times New Roman"/>
                <w:kern w:val="0"/>
                <w:sz w:val="22"/>
                <w:szCs w:val="24"/>
              </w:rPr>
              <w:t>±877.03</w:t>
            </w:r>
          </w:p>
        </w:tc>
        <w:tc>
          <w:tcPr>
            <w:tcW w:w="27" w:type="pct"/>
            <w:tcBorders>
              <w:top w:val="single" w:color="auto" w:sz="6" w:space="0"/>
              <w:left w:val="nil"/>
              <w:bottom w:val="nil"/>
              <w:right w:val="nil"/>
            </w:tcBorders>
            <w:vAlign w:val="center"/>
          </w:tcPr>
          <w:p w14:paraId="132B5DB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6" w:type="pct"/>
            <w:tcBorders>
              <w:top w:val="single" w:color="auto" w:sz="6" w:space="0"/>
              <w:left w:val="nil"/>
              <w:bottom w:val="nil"/>
              <w:right w:val="nil"/>
            </w:tcBorders>
            <w:vAlign w:val="center"/>
          </w:tcPr>
          <w:p w14:paraId="01B7EB2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2</w:t>
            </w:r>
            <w:r>
              <w:rPr>
                <w:rFonts w:hint="default" w:ascii="Times New Roman" w:hAnsi="Times New Roman" w:eastAsia="仿宋" w:cs="Times New Roman"/>
                <w:color w:val="000000"/>
                <w:kern w:val="0"/>
                <w:sz w:val="22"/>
                <w:szCs w:val="24"/>
              </w:rPr>
              <w:t>0</w:t>
            </w:r>
          </w:p>
        </w:tc>
        <w:tc>
          <w:tcPr>
            <w:tcW w:w="653" w:type="pct"/>
            <w:tcBorders>
              <w:top w:val="single" w:color="auto" w:sz="6" w:space="0"/>
              <w:left w:val="nil"/>
              <w:bottom w:val="nil"/>
              <w:right w:val="nil"/>
            </w:tcBorders>
            <w:vAlign w:val="center"/>
          </w:tcPr>
          <w:p w14:paraId="07C5530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6</w:t>
            </w:r>
            <w:r>
              <w:rPr>
                <w:rFonts w:hint="default" w:ascii="Times New Roman" w:hAnsi="Times New Roman" w:eastAsia="仿宋" w:cs="Times New Roman"/>
                <w:color w:val="000000"/>
                <w:kern w:val="0"/>
                <w:sz w:val="22"/>
                <w:szCs w:val="24"/>
              </w:rPr>
              <w:t>07.9</w:t>
            </w:r>
            <w:r>
              <w:rPr>
                <w:rFonts w:hint="default" w:ascii="Times New Roman" w:hAnsi="Times New Roman" w:eastAsia="仿宋" w:cs="Times New Roman"/>
                <w:kern w:val="0"/>
                <w:sz w:val="22"/>
                <w:szCs w:val="24"/>
              </w:rPr>
              <w:t>5±173.88</w:t>
            </w:r>
          </w:p>
        </w:tc>
        <w:tc>
          <w:tcPr>
            <w:tcW w:w="23" w:type="pct"/>
            <w:tcBorders>
              <w:top w:val="single" w:color="auto" w:sz="6" w:space="0"/>
              <w:left w:val="nil"/>
              <w:bottom w:val="nil"/>
              <w:right w:val="nil"/>
            </w:tcBorders>
            <w:vAlign w:val="center"/>
          </w:tcPr>
          <w:p w14:paraId="380EB97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286" w:type="pct"/>
            <w:tcBorders>
              <w:top w:val="single" w:color="auto" w:sz="6" w:space="0"/>
              <w:left w:val="nil"/>
              <w:bottom w:val="nil"/>
              <w:right w:val="nil"/>
            </w:tcBorders>
            <w:vAlign w:val="center"/>
          </w:tcPr>
          <w:p w14:paraId="27EDE21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6</w:t>
            </w:r>
          </w:p>
        </w:tc>
        <w:tc>
          <w:tcPr>
            <w:tcW w:w="622" w:type="pct"/>
            <w:tcBorders>
              <w:top w:val="single" w:color="auto" w:sz="6" w:space="0"/>
              <w:left w:val="nil"/>
              <w:bottom w:val="nil"/>
              <w:right w:val="nil"/>
            </w:tcBorders>
            <w:vAlign w:val="center"/>
          </w:tcPr>
          <w:p w14:paraId="6C083F8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1</w:t>
            </w:r>
            <w:r>
              <w:rPr>
                <w:rFonts w:hint="default" w:ascii="Times New Roman" w:hAnsi="Times New Roman" w:eastAsia="仿宋" w:cs="Times New Roman"/>
                <w:color w:val="000000"/>
                <w:kern w:val="0"/>
                <w:sz w:val="22"/>
                <w:szCs w:val="24"/>
              </w:rPr>
              <w:t>280.00</w:t>
            </w:r>
            <w:r>
              <w:rPr>
                <w:rFonts w:hint="default" w:ascii="Times New Roman" w:hAnsi="Times New Roman" w:eastAsia="仿宋" w:cs="Times New Roman"/>
                <w:kern w:val="0"/>
                <w:sz w:val="22"/>
                <w:szCs w:val="24"/>
              </w:rPr>
              <w:t>±428.11</w:t>
            </w:r>
          </w:p>
        </w:tc>
        <w:tc>
          <w:tcPr>
            <w:tcW w:w="49" w:type="pct"/>
            <w:tcBorders>
              <w:top w:val="single" w:color="auto" w:sz="6" w:space="0"/>
              <w:left w:val="nil"/>
              <w:bottom w:val="nil"/>
              <w:right w:val="nil"/>
            </w:tcBorders>
            <w:vAlign w:val="center"/>
          </w:tcPr>
          <w:p w14:paraId="137B46A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58" w:type="pct"/>
            <w:tcBorders>
              <w:top w:val="single" w:color="auto" w:sz="4" w:space="0"/>
              <w:left w:val="nil"/>
              <w:bottom w:val="nil"/>
              <w:right w:val="nil"/>
            </w:tcBorders>
            <w:shd w:val="clear" w:color="auto" w:fill="auto"/>
            <w:vAlign w:val="center"/>
          </w:tcPr>
          <w:p w14:paraId="7B52A90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default" w:ascii="Times New Roman" w:hAnsi="Times New Roman" w:eastAsia="宋体" w:cs="Times New Roman"/>
                <w:color w:val="000000"/>
                <w:kern w:val="0"/>
                <w:sz w:val="22"/>
                <w:szCs w:val="20"/>
              </w:rPr>
              <w:t xml:space="preserve">2874.05 </w:t>
            </w:r>
          </w:p>
        </w:tc>
        <w:tc>
          <w:tcPr>
            <w:tcW w:w="285" w:type="pct"/>
            <w:tcBorders>
              <w:top w:val="single" w:color="auto" w:sz="4" w:space="0"/>
              <w:left w:val="nil"/>
              <w:bottom w:val="nil"/>
              <w:right w:val="nil"/>
            </w:tcBorders>
            <w:shd w:val="clear" w:color="auto" w:fill="auto"/>
            <w:vAlign w:val="center"/>
          </w:tcPr>
          <w:p w14:paraId="2D2B06A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default" w:ascii="Times New Roman" w:hAnsi="Times New Roman" w:eastAsia="宋体" w:cs="Times New Roman"/>
                <w:color w:val="000000"/>
                <w:kern w:val="0"/>
                <w:sz w:val="22"/>
                <w:szCs w:val="20"/>
              </w:rPr>
              <w:t xml:space="preserve">5.73 </w:t>
            </w:r>
          </w:p>
        </w:tc>
        <w:tc>
          <w:tcPr>
            <w:tcW w:w="51" w:type="pct"/>
            <w:tcBorders>
              <w:top w:val="single" w:color="auto" w:sz="4" w:space="0"/>
              <w:left w:val="nil"/>
              <w:bottom w:val="nil"/>
              <w:right w:val="nil"/>
            </w:tcBorders>
            <w:vAlign w:val="center"/>
          </w:tcPr>
          <w:p w14:paraId="66ABD70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0" w:type="pct"/>
            <w:tcBorders>
              <w:top w:val="single" w:color="auto" w:sz="4" w:space="0"/>
              <w:left w:val="nil"/>
              <w:bottom w:val="nil"/>
              <w:right w:val="nil"/>
            </w:tcBorders>
            <w:shd w:val="clear" w:color="auto" w:fill="auto"/>
            <w:vAlign w:val="center"/>
          </w:tcPr>
          <w:p w14:paraId="696488D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default" w:ascii="Times New Roman" w:hAnsi="Times New Roman" w:eastAsia="宋体" w:cs="Times New Roman"/>
                <w:color w:val="000000"/>
                <w:kern w:val="0"/>
                <w:sz w:val="22"/>
                <w:szCs w:val="20"/>
              </w:rPr>
              <w:t xml:space="preserve">2202.00 </w:t>
            </w:r>
          </w:p>
        </w:tc>
        <w:tc>
          <w:tcPr>
            <w:tcW w:w="283" w:type="pct"/>
            <w:tcBorders>
              <w:top w:val="single" w:color="auto" w:sz="4" w:space="0"/>
              <w:left w:val="nil"/>
              <w:bottom w:val="nil"/>
              <w:right w:val="nil"/>
            </w:tcBorders>
            <w:shd w:val="clear" w:color="auto" w:fill="auto"/>
            <w:vAlign w:val="center"/>
          </w:tcPr>
          <w:p w14:paraId="50E1CE5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default" w:ascii="Times New Roman" w:hAnsi="Times New Roman" w:eastAsia="宋体" w:cs="Times New Roman"/>
                <w:color w:val="000000"/>
                <w:kern w:val="0"/>
                <w:sz w:val="22"/>
                <w:szCs w:val="20"/>
              </w:rPr>
              <w:t xml:space="preserve">2.72 </w:t>
            </w:r>
          </w:p>
        </w:tc>
      </w:tr>
      <w:tr w14:paraId="1251C645">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97" w:hRule="atLeast"/>
        </w:trPr>
        <w:tc>
          <w:tcPr>
            <w:tcW w:w="253" w:type="pct"/>
            <w:vMerge w:val="continue"/>
            <w:tcBorders>
              <w:top w:val="single" w:color="auto" w:sz="4" w:space="0"/>
              <w:left w:val="nil"/>
              <w:bottom w:val="single" w:color="auto" w:sz="4" w:space="0"/>
              <w:right w:val="nil"/>
            </w:tcBorders>
            <w:vAlign w:val="center"/>
          </w:tcPr>
          <w:p w14:paraId="4F5CBC43">
            <w:pPr>
              <w:keepNext w:val="0"/>
              <w:keepLines w:val="0"/>
              <w:widowControl/>
              <w:suppressLineNumbers w:val="0"/>
              <w:spacing w:before="0" w:beforeAutospacing="0" w:after="0" w:afterAutospacing="0" w:line="240" w:lineRule="auto"/>
              <w:ind w:left="0" w:right="0"/>
              <w:jc w:val="left"/>
              <w:rPr>
                <w:rFonts w:hint="default" w:ascii="Times New Roman" w:hAnsi="Times New Roman" w:eastAsia="仿宋" w:cs="Times New Roman"/>
                <w:kern w:val="0"/>
                <w:sz w:val="22"/>
                <w:szCs w:val="24"/>
              </w:rPr>
            </w:pPr>
          </w:p>
        </w:tc>
        <w:tc>
          <w:tcPr>
            <w:tcW w:w="253" w:type="pct"/>
            <w:vMerge w:val="continue"/>
            <w:tcBorders>
              <w:top w:val="nil"/>
              <w:left w:val="nil"/>
              <w:bottom w:val="nil"/>
              <w:right w:val="nil"/>
            </w:tcBorders>
            <w:vAlign w:val="center"/>
          </w:tcPr>
          <w:p w14:paraId="33AF3CFF">
            <w:pPr>
              <w:keepNext w:val="0"/>
              <w:keepLines w:val="0"/>
              <w:widowControl/>
              <w:suppressLineNumbers w:val="0"/>
              <w:spacing w:before="0" w:beforeAutospacing="0" w:after="0" w:afterAutospacing="0" w:line="240" w:lineRule="auto"/>
              <w:ind w:left="0" w:right="0"/>
              <w:jc w:val="left"/>
              <w:rPr>
                <w:rFonts w:hint="default" w:ascii="Times New Roman" w:hAnsi="Times New Roman" w:eastAsia="仿宋" w:cs="Times New Roman"/>
                <w:kern w:val="0"/>
                <w:sz w:val="22"/>
                <w:szCs w:val="24"/>
              </w:rPr>
            </w:pPr>
          </w:p>
        </w:tc>
        <w:tc>
          <w:tcPr>
            <w:tcW w:w="302" w:type="pct"/>
            <w:tcBorders>
              <w:top w:val="nil"/>
              <w:left w:val="nil"/>
              <w:bottom w:val="nil"/>
              <w:right w:val="nil"/>
            </w:tcBorders>
            <w:vAlign w:val="center"/>
          </w:tcPr>
          <w:p w14:paraId="64C3C74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站台</w:t>
            </w:r>
          </w:p>
        </w:tc>
        <w:tc>
          <w:tcPr>
            <w:tcW w:w="303" w:type="pct"/>
            <w:tcBorders>
              <w:top w:val="nil"/>
              <w:left w:val="nil"/>
              <w:bottom w:val="nil"/>
              <w:right w:val="nil"/>
            </w:tcBorders>
            <w:vAlign w:val="center"/>
          </w:tcPr>
          <w:p w14:paraId="45C08A9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bCs/>
                <w:kern w:val="0"/>
                <w:sz w:val="22"/>
                <w:szCs w:val="24"/>
              </w:rPr>
            </w:pPr>
            <w:r>
              <w:rPr>
                <w:rFonts w:hint="eastAsia" w:ascii="Times New Roman" w:hAnsi="Times New Roman" w:eastAsia="仿宋" w:cs="Times New Roman"/>
                <w:bCs/>
                <w:kern w:val="0"/>
                <w:sz w:val="22"/>
                <w:szCs w:val="24"/>
              </w:rPr>
              <w:t>2</w:t>
            </w:r>
            <w:r>
              <w:rPr>
                <w:rFonts w:hint="default" w:ascii="Times New Roman" w:hAnsi="Times New Roman" w:eastAsia="仿宋" w:cs="Times New Roman"/>
                <w:bCs/>
                <w:kern w:val="0"/>
                <w:sz w:val="22"/>
                <w:szCs w:val="24"/>
              </w:rPr>
              <w:t>0</w:t>
            </w:r>
          </w:p>
        </w:tc>
        <w:tc>
          <w:tcPr>
            <w:tcW w:w="606" w:type="pct"/>
            <w:tcBorders>
              <w:top w:val="nil"/>
              <w:left w:val="nil"/>
              <w:bottom w:val="nil"/>
              <w:right w:val="nil"/>
            </w:tcBorders>
            <w:vAlign w:val="center"/>
          </w:tcPr>
          <w:p w14:paraId="0691AB9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1</w:t>
            </w:r>
            <w:r>
              <w:rPr>
                <w:rFonts w:hint="default" w:ascii="Times New Roman" w:hAnsi="Times New Roman" w:eastAsia="仿宋" w:cs="Times New Roman"/>
                <w:color w:val="000000"/>
                <w:kern w:val="0"/>
                <w:sz w:val="22"/>
                <w:szCs w:val="24"/>
              </w:rPr>
              <w:t>628.00</w:t>
            </w:r>
            <w:r>
              <w:rPr>
                <w:rFonts w:hint="default" w:ascii="Times New Roman" w:hAnsi="Times New Roman" w:eastAsia="仿宋" w:cs="Times New Roman"/>
                <w:kern w:val="0"/>
                <w:sz w:val="22"/>
                <w:szCs w:val="24"/>
              </w:rPr>
              <w:t>±455.44</w:t>
            </w:r>
          </w:p>
        </w:tc>
        <w:tc>
          <w:tcPr>
            <w:tcW w:w="27" w:type="pct"/>
            <w:tcBorders>
              <w:top w:val="nil"/>
              <w:left w:val="nil"/>
              <w:bottom w:val="nil"/>
              <w:right w:val="nil"/>
            </w:tcBorders>
            <w:vAlign w:val="center"/>
          </w:tcPr>
          <w:p w14:paraId="1D71309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6" w:type="pct"/>
            <w:tcBorders>
              <w:top w:val="nil"/>
              <w:left w:val="nil"/>
              <w:bottom w:val="nil"/>
              <w:right w:val="nil"/>
            </w:tcBorders>
            <w:vAlign w:val="center"/>
          </w:tcPr>
          <w:p w14:paraId="1A624EE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2</w:t>
            </w:r>
            <w:r>
              <w:rPr>
                <w:rFonts w:hint="default" w:ascii="Times New Roman" w:hAnsi="Times New Roman" w:eastAsia="仿宋" w:cs="Times New Roman"/>
                <w:color w:val="000000"/>
                <w:kern w:val="0"/>
                <w:sz w:val="22"/>
                <w:szCs w:val="24"/>
              </w:rPr>
              <w:t>0</w:t>
            </w:r>
          </w:p>
        </w:tc>
        <w:tc>
          <w:tcPr>
            <w:tcW w:w="653" w:type="pct"/>
            <w:tcBorders>
              <w:top w:val="nil"/>
              <w:left w:val="nil"/>
              <w:bottom w:val="nil"/>
              <w:right w:val="nil"/>
            </w:tcBorders>
            <w:vAlign w:val="center"/>
          </w:tcPr>
          <w:p w14:paraId="4878B36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3</w:t>
            </w:r>
            <w:r>
              <w:rPr>
                <w:rFonts w:hint="default" w:ascii="Times New Roman" w:hAnsi="Times New Roman" w:eastAsia="仿宋" w:cs="Times New Roman"/>
                <w:color w:val="000000"/>
                <w:kern w:val="0"/>
                <w:sz w:val="22"/>
                <w:szCs w:val="24"/>
              </w:rPr>
              <w:t>35.34</w:t>
            </w:r>
            <w:r>
              <w:rPr>
                <w:rFonts w:hint="default" w:ascii="Times New Roman" w:hAnsi="Times New Roman" w:eastAsia="仿宋" w:cs="Times New Roman"/>
                <w:kern w:val="0"/>
                <w:sz w:val="22"/>
                <w:szCs w:val="24"/>
              </w:rPr>
              <w:t>±119.61</w:t>
            </w:r>
          </w:p>
        </w:tc>
        <w:tc>
          <w:tcPr>
            <w:tcW w:w="23" w:type="pct"/>
            <w:tcBorders>
              <w:top w:val="nil"/>
              <w:left w:val="nil"/>
              <w:bottom w:val="nil"/>
              <w:right w:val="nil"/>
            </w:tcBorders>
            <w:vAlign w:val="center"/>
          </w:tcPr>
          <w:p w14:paraId="5988447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286" w:type="pct"/>
            <w:tcBorders>
              <w:top w:val="nil"/>
              <w:left w:val="nil"/>
              <w:bottom w:val="nil"/>
              <w:right w:val="nil"/>
            </w:tcBorders>
            <w:vAlign w:val="center"/>
          </w:tcPr>
          <w:p w14:paraId="5BB6C02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6</w:t>
            </w:r>
          </w:p>
        </w:tc>
        <w:tc>
          <w:tcPr>
            <w:tcW w:w="622" w:type="pct"/>
            <w:tcBorders>
              <w:top w:val="nil"/>
              <w:left w:val="nil"/>
              <w:bottom w:val="nil"/>
              <w:right w:val="nil"/>
            </w:tcBorders>
            <w:vAlign w:val="center"/>
          </w:tcPr>
          <w:p w14:paraId="0CF7545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1</w:t>
            </w:r>
            <w:r>
              <w:rPr>
                <w:rFonts w:hint="default" w:ascii="Times New Roman" w:hAnsi="Times New Roman" w:eastAsia="仿宋" w:cs="Times New Roman"/>
                <w:color w:val="000000"/>
                <w:kern w:val="0"/>
                <w:sz w:val="22"/>
                <w:szCs w:val="24"/>
              </w:rPr>
              <w:t>131.67</w:t>
            </w:r>
            <w:r>
              <w:rPr>
                <w:rFonts w:hint="default" w:ascii="Times New Roman" w:hAnsi="Times New Roman" w:eastAsia="仿宋" w:cs="Times New Roman"/>
                <w:kern w:val="0"/>
                <w:sz w:val="22"/>
                <w:szCs w:val="24"/>
              </w:rPr>
              <w:t>±513.51</w:t>
            </w:r>
          </w:p>
        </w:tc>
        <w:tc>
          <w:tcPr>
            <w:tcW w:w="49" w:type="pct"/>
            <w:tcBorders>
              <w:top w:val="nil"/>
              <w:left w:val="nil"/>
              <w:bottom w:val="nil"/>
              <w:right w:val="nil"/>
            </w:tcBorders>
            <w:vAlign w:val="center"/>
          </w:tcPr>
          <w:p w14:paraId="076C61B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58" w:type="pct"/>
            <w:tcBorders>
              <w:top w:val="nil"/>
              <w:left w:val="nil"/>
              <w:bottom w:val="nil"/>
              <w:right w:val="nil"/>
            </w:tcBorders>
            <w:shd w:val="clear" w:color="auto" w:fill="auto"/>
            <w:vAlign w:val="center"/>
          </w:tcPr>
          <w:p w14:paraId="63ED222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default" w:ascii="Times New Roman" w:hAnsi="Times New Roman" w:eastAsia="宋体" w:cs="Times New Roman"/>
                <w:color w:val="000000"/>
                <w:kern w:val="0"/>
                <w:sz w:val="22"/>
                <w:szCs w:val="20"/>
              </w:rPr>
              <w:t xml:space="preserve">1292.66 </w:t>
            </w:r>
          </w:p>
        </w:tc>
        <w:tc>
          <w:tcPr>
            <w:tcW w:w="285" w:type="pct"/>
            <w:tcBorders>
              <w:top w:val="nil"/>
              <w:left w:val="nil"/>
              <w:bottom w:val="nil"/>
              <w:right w:val="nil"/>
            </w:tcBorders>
            <w:shd w:val="clear" w:color="auto" w:fill="auto"/>
            <w:vAlign w:val="center"/>
          </w:tcPr>
          <w:p w14:paraId="1B437A3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default" w:ascii="Times New Roman" w:hAnsi="Times New Roman" w:eastAsia="宋体" w:cs="Times New Roman"/>
                <w:color w:val="000000"/>
                <w:kern w:val="0"/>
                <w:sz w:val="22"/>
                <w:szCs w:val="20"/>
              </w:rPr>
              <w:t xml:space="preserve">4.85 </w:t>
            </w:r>
          </w:p>
        </w:tc>
        <w:tc>
          <w:tcPr>
            <w:tcW w:w="51" w:type="pct"/>
            <w:tcBorders>
              <w:top w:val="nil"/>
              <w:left w:val="nil"/>
              <w:bottom w:val="nil"/>
              <w:right w:val="nil"/>
            </w:tcBorders>
            <w:vAlign w:val="center"/>
          </w:tcPr>
          <w:p w14:paraId="06B3B61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0" w:type="pct"/>
            <w:tcBorders>
              <w:top w:val="nil"/>
              <w:left w:val="nil"/>
              <w:bottom w:val="nil"/>
              <w:right w:val="nil"/>
            </w:tcBorders>
            <w:shd w:val="clear" w:color="auto" w:fill="auto"/>
            <w:vAlign w:val="center"/>
          </w:tcPr>
          <w:p w14:paraId="375C853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default" w:ascii="Times New Roman" w:hAnsi="Times New Roman" w:eastAsia="宋体" w:cs="Times New Roman"/>
                <w:color w:val="000000"/>
                <w:kern w:val="0"/>
                <w:sz w:val="22"/>
                <w:szCs w:val="20"/>
              </w:rPr>
              <w:t xml:space="preserve">496.33 </w:t>
            </w:r>
          </w:p>
        </w:tc>
        <w:tc>
          <w:tcPr>
            <w:tcW w:w="283" w:type="pct"/>
            <w:tcBorders>
              <w:top w:val="nil"/>
              <w:left w:val="nil"/>
              <w:bottom w:val="nil"/>
              <w:right w:val="nil"/>
            </w:tcBorders>
            <w:shd w:val="clear" w:color="auto" w:fill="auto"/>
            <w:vAlign w:val="center"/>
          </w:tcPr>
          <w:p w14:paraId="736F5D0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default" w:ascii="Times New Roman" w:hAnsi="Times New Roman" w:eastAsia="宋体" w:cs="Times New Roman"/>
                <w:color w:val="000000"/>
                <w:kern w:val="0"/>
                <w:sz w:val="22"/>
                <w:szCs w:val="20"/>
              </w:rPr>
              <w:t xml:space="preserve">1.44 </w:t>
            </w:r>
          </w:p>
        </w:tc>
      </w:tr>
      <w:tr w14:paraId="04D7E16A">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97" w:hRule="atLeast"/>
        </w:trPr>
        <w:tc>
          <w:tcPr>
            <w:tcW w:w="253" w:type="pct"/>
            <w:vMerge w:val="continue"/>
            <w:tcBorders>
              <w:top w:val="single" w:color="auto" w:sz="4" w:space="0"/>
              <w:left w:val="nil"/>
              <w:bottom w:val="single" w:color="auto" w:sz="4" w:space="0"/>
              <w:right w:val="nil"/>
            </w:tcBorders>
            <w:vAlign w:val="center"/>
          </w:tcPr>
          <w:p w14:paraId="662FF2F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p>
        </w:tc>
        <w:tc>
          <w:tcPr>
            <w:tcW w:w="253" w:type="pct"/>
            <w:vMerge w:val="restart"/>
            <w:tcBorders>
              <w:top w:val="nil"/>
              <w:left w:val="nil"/>
              <w:bottom w:val="nil"/>
              <w:right w:val="nil"/>
            </w:tcBorders>
            <w:vAlign w:val="center"/>
          </w:tcPr>
          <w:p w14:paraId="588A07B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下午</w:t>
            </w:r>
          </w:p>
        </w:tc>
        <w:tc>
          <w:tcPr>
            <w:tcW w:w="302" w:type="pct"/>
            <w:tcBorders>
              <w:top w:val="nil"/>
              <w:left w:val="nil"/>
              <w:bottom w:val="nil"/>
              <w:right w:val="nil"/>
            </w:tcBorders>
            <w:vAlign w:val="center"/>
          </w:tcPr>
          <w:p w14:paraId="4257B51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站厅</w:t>
            </w:r>
          </w:p>
        </w:tc>
        <w:tc>
          <w:tcPr>
            <w:tcW w:w="303" w:type="pct"/>
            <w:tcBorders>
              <w:top w:val="nil"/>
              <w:left w:val="nil"/>
              <w:bottom w:val="nil"/>
              <w:right w:val="nil"/>
            </w:tcBorders>
            <w:vAlign w:val="center"/>
          </w:tcPr>
          <w:p w14:paraId="39CB7F5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bCs/>
                <w:kern w:val="0"/>
                <w:sz w:val="22"/>
                <w:szCs w:val="24"/>
              </w:rPr>
            </w:pPr>
            <w:r>
              <w:rPr>
                <w:rFonts w:hint="eastAsia" w:ascii="Times New Roman" w:hAnsi="Times New Roman" w:eastAsia="仿宋" w:cs="Times New Roman"/>
                <w:bCs/>
                <w:kern w:val="0"/>
                <w:sz w:val="22"/>
                <w:szCs w:val="24"/>
              </w:rPr>
              <w:t>2</w:t>
            </w:r>
            <w:r>
              <w:rPr>
                <w:rFonts w:hint="default" w:ascii="Times New Roman" w:hAnsi="Times New Roman" w:eastAsia="仿宋" w:cs="Times New Roman"/>
                <w:bCs/>
                <w:kern w:val="0"/>
                <w:sz w:val="22"/>
                <w:szCs w:val="24"/>
              </w:rPr>
              <w:t>0</w:t>
            </w:r>
          </w:p>
        </w:tc>
        <w:tc>
          <w:tcPr>
            <w:tcW w:w="606" w:type="pct"/>
            <w:tcBorders>
              <w:top w:val="nil"/>
              <w:left w:val="nil"/>
              <w:bottom w:val="nil"/>
              <w:right w:val="nil"/>
            </w:tcBorders>
            <w:vAlign w:val="center"/>
          </w:tcPr>
          <w:p w14:paraId="4EDFE3D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2</w:t>
            </w:r>
            <w:r>
              <w:rPr>
                <w:rFonts w:hint="default" w:ascii="Times New Roman" w:hAnsi="Times New Roman" w:eastAsia="仿宋" w:cs="Times New Roman"/>
                <w:color w:val="000000"/>
                <w:kern w:val="0"/>
                <w:sz w:val="22"/>
                <w:szCs w:val="24"/>
              </w:rPr>
              <w:t>017.00</w:t>
            </w:r>
            <w:r>
              <w:rPr>
                <w:rFonts w:hint="default" w:ascii="Times New Roman" w:hAnsi="Times New Roman" w:eastAsia="仿宋" w:cs="Times New Roman"/>
                <w:kern w:val="0"/>
                <w:sz w:val="22"/>
                <w:szCs w:val="24"/>
              </w:rPr>
              <w:t>±548.50</w:t>
            </w:r>
          </w:p>
        </w:tc>
        <w:tc>
          <w:tcPr>
            <w:tcW w:w="27" w:type="pct"/>
            <w:tcBorders>
              <w:top w:val="nil"/>
              <w:left w:val="nil"/>
              <w:bottom w:val="nil"/>
              <w:right w:val="nil"/>
            </w:tcBorders>
            <w:vAlign w:val="center"/>
          </w:tcPr>
          <w:p w14:paraId="7E35CA9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6" w:type="pct"/>
            <w:tcBorders>
              <w:top w:val="nil"/>
              <w:left w:val="nil"/>
              <w:bottom w:val="nil"/>
              <w:right w:val="nil"/>
            </w:tcBorders>
            <w:vAlign w:val="center"/>
          </w:tcPr>
          <w:p w14:paraId="70AAB26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2</w:t>
            </w:r>
            <w:r>
              <w:rPr>
                <w:rFonts w:hint="default" w:ascii="Times New Roman" w:hAnsi="Times New Roman" w:eastAsia="仿宋" w:cs="Times New Roman"/>
                <w:color w:val="000000"/>
                <w:kern w:val="0"/>
                <w:sz w:val="22"/>
                <w:szCs w:val="24"/>
              </w:rPr>
              <w:t>0</w:t>
            </w:r>
          </w:p>
        </w:tc>
        <w:tc>
          <w:tcPr>
            <w:tcW w:w="653" w:type="pct"/>
            <w:tcBorders>
              <w:top w:val="nil"/>
              <w:left w:val="nil"/>
              <w:bottom w:val="nil"/>
              <w:right w:val="nil"/>
            </w:tcBorders>
            <w:vAlign w:val="center"/>
          </w:tcPr>
          <w:p w14:paraId="5F8A799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2</w:t>
            </w:r>
            <w:r>
              <w:rPr>
                <w:rFonts w:hint="default" w:ascii="Times New Roman" w:hAnsi="Times New Roman" w:eastAsia="仿宋" w:cs="Times New Roman"/>
                <w:color w:val="000000"/>
                <w:kern w:val="0"/>
                <w:sz w:val="22"/>
                <w:szCs w:val="24"/>
              </w:rPr>
              <w:t>74.91</w:t>
            </w:r>
            <w:r>
              <w:rPr>
                <w:rFonts w:hint="default" w:ascii="Times New Roman" w:hAnsi="Times New Roman" w:eastAsia="仿宋" w:cs="Times New Roman"/>
                <w:kern w:val="0"/>
                <w:sz w:val="22"/>
                <w:szCs w:val="24"/>
              </w:rPr>
              <w:t>±99.06</w:t>
            </w:r>
          </w:p>
        </w:tc>
        <w:tc>
          <w:tcPr>
            <w:tcW w:w="23" w:type="pct"/>
            <w:tcBorders>
              <w:top w:val="nil"/>
              <w:left w:val="nil"/>
              <w:bottom w:val="nil"/>
              <w:right w:val="nil"/>
            </w:tcBorders>
            <w:vAlign w:val="center"/>
          </w:tcPr>
          <w:p w14:paraId="5E66CEB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286" w:type="pct"/>
            <w:tcBorders>
              <w:top w:val="nil"/>
              <w:left w:val="nil"/>
              <w:bottom w:val="nil"/>
              <w:right w:val="nil"/>
            </w:tcBorders>
            <w:vAlign w:val="center"/>
          </w:tcPr>
          <w:p w14:paraId="2916672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6</w:t>
            </w:r>
          </w:p>
        </w:tc>
        <w:tc>
          <w:tcPr>
            <w:tcW w:w="622" w:type="pct"/>
            <w:tcBorders>
              <w:top w:val="nil"/>
              <w:left w:val="nil"/>
              <w:bottom w:val="nil"/>
              <w:right w:val="nil"/>
            </w:tcBorders>
            <w:vAlign w:val="center"/>
          </w:tcPr>
          <w:p w14:paraId="5B7F2C7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1</w:t>
            </w:r>
            <w:r>
              <w:rPr>
                <w:rFonts w:hint="default" w:ascii="Times New Roman" w:hAnsi="Times New Roman" w:eastAsia="仿宋" w:cs="Times New Roman"/>
                <w:color w:val="000000"/>
                <w:kern w:val="0"/>
                <w:sz w:val="22"/>
                <w:szCs w:val="24"/>
              </w:rPr>
              <w:t>740.00</w:t>
            </w:r>
            <w:r>
              <w:rPr>
                <w:rFonts w:hint="default" w:ascii="Times New Roman" w:hAnsi="Times New Roman" w:eastAsia="仿宋" w:cs="Times New Roman"/>
                <w:kern w:val="0"/>
                <w:sz w:val="22"/>
                <w:szCs w:val="24"/>
              </w:rPr>
              <w:t>±1283.09</w:t>
            </w:r>
          </w:p>
        </w:tc>
        <w:tc>
          <w:tcPr>
            <w:tcW w:w="49" w:type="pct"/>
            <w:tcBorders>
              <w:top w:val="nil"/>
              <w:left w:val="nil"/>
              <w:bottom w:val="nil"/>
              <w:right w:val="nil"/>
            </w:tcBorders>
            <w:vAlign w:val="center"/>
          </w:tcPr>
          <w:p w14:paraId="38DA868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58" w:type="pct"/>
            <w:tcBorders>
              <w:top w:val="nil"/>
              <w:left w:val="nil"/>
              <w:bottom w:val="nil"/>
              <w:right w:val="nil"/>
            </w:tcBorders>
            <w:shd w:val="clear" w:color="auto" w:fill="auto"/>
            <w:vAlign w:val="center"/>
          </w:tcPr>
          <w:p w14:paraId="3268086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default" w:ascii="Times New Roman" w:hAnsi="Times New Roman" w:eastAsia="宋体" w:cs="Times New Roman"/>
                <w:color w:val="000000"/>
                <w:kern w:val="0"/>
                <w:sz w:val="22"/>
                <w:szCs w:val="20"/>
              </w:rPr>
              <w:t xml:space="preserve">1742.09 </w:t>
            </w:r>
          </w:p>
        </w:tc>
        <w:tc>
          <w:tcPr>
            <w:tcW w:w="285" w:type="pct"/>
            <w:tcBorders>
              <w:top w:val="nil"/>
              <w:left w:val="nil"/>
              <w:bottom w:val="nil"/>
              <w:right w:val="nil"/>
            </w:tcBorders>
            <w:shd w:val="clear" w:color="auto" w:fill="auto"/>
            <w:vAlign w:val="center"/>
          </w:tcPr>
          <w:p w14:paraId="5C17B1C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default" w:ascii="Times New Roman" w:hAnsi="Times New Roman" w:eastAsia="宋体" w:cs="Times New Roman"/>
                <w:color w:val="000000"/>
                <w:kern w:val="0"/>
                <w:sz w:val="22"/>
                <w:szCs w:val="20"/>
              </w:rPr>
              <w:t xml:space="preserve">7.34 </w:t>
            </w:r>
          </w:p>
        </w:tc>
        <w:tc>
          <w:tcPr>
            <w:tcW w:w="51" w:type="pct"/>
            <w:tcBorders>
              <w:top w:val="nil"/>
              <w:left w:val="nil"/>
              <w:bottom w:val="nil"/>
              <w:right w:val="nil"/>
            </w:tcBorders>
            <w:vAlign w:val="center"/>
          </w:tcPr>
          <w:p w14:paraId="140B44D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0" w:type="pct"/>
            <w:tcBorders>
              <w:top w:val="nil"/>
              <w:left w:val="nil"/>
              <w:bottom w:val="nil"/>
              <w:right w:val="nil"/>
            </w:tcBorders>
            <w:shd w:val="clear" w:color="auto" w:fill="auto"/>
            <w:vAlign w:val="center"/>
          </w:tcPr>
          <w:p w14:paraId="0F5D562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default" w:ascii="Times New Roman" w:hAnsi="Times New Roman" w:eastAsia="宋体" w:cs="Times New Roman"/>
                <w:color w:val="000000"/>
                <w:kern w:val="0"/>
                <w:sz w:val="22"/>
                <w:szCs w:val="20"/>
              </w:rPr>
              <w:t xml:space="preserve">277.00 </w:t>
            </w:r>
          </w:p>
        </w:tc>
        <w:tc>
          <w:tcPr>
            <w:tcW w:w="283" w:type="pct"/>
            <w:tcBorders>
              <w:top w:val="nil"/>
              <w:left w:val="nil"/>
              <w:bottom w:val="nil"/>
              <w:right w:val="nil"/>
            </w:tcBorders>
            <w:shd w:val="clear" w:color="auto" w:fill="auto"/>
            <w:vAlign w:val="center"/>
          </w:tcPr>
          <w:p w14:paraId="0AC00DA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default" w:ascii="Times New Roman" w:hAnsi="Times New Roman" w:eastAsia="宋体" w:cs="Times New Roman"/>
                <w:color w:val="000000"/>
                <w:kern w:val="0"/>
                <w:sz w:val="22"/>
                <w:szCs w:val="20"/>
              </w:rPr>
              <w:t xml:space="preserve">1.16 </w:t>
            </w:r>
          </w:p>
        </w:tc>
      </w:tr>
      <w:tr w14:paraId="5527382B">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97" w:hRule="atLeast"/>
        </w:trPr>
        <w:tc>
          <w:tcPr>
            <w:tcW w:w="253" w:type="pct"/>
            <w:vMerge w:val="continue"/>
            <w:tcBorders>
              <w:top w:val="single" w:color="auto" w:sz="4" w:space="0"/>
              <w:left w:val="nil"/>
              <w:bottom w:val="single" w:color="auto" w:sz="4" w:space="0"/>
              <w:right w:val="nil"/>
            </w:tcBorders>
            <w:vAlign w:val="center"/>
          </w:tcPr>
          <w:p w14:paraId="68EF3FA6">
            <w:pPr>
              <w:keepNext w:val="0"/>
              <w:keepLines w:val="0"/>
              <w:widowControl/>
              <w:suppressLineNumbers w:val="0"/>
              <w:spacing w:before="0" w:beforeAutospacing="0" w:after="0" w:afterAutospacing="0" w:line="240" w:lineRule="auto"/>
              <w:ind w:left="0" w:right="0"/>
              <w:jc w:val="left"/>
              <w:rPr>
                <w:rFonts w:hint="default" w:ascii="Times New Roman" w:hAnsi="Times New Roman" w:eastAsia="仿宋" w:cs="Times New Roman"/>
                <w:kern w:val="0"/>
                <w:sz w:val="22"/>
                <w:szCs w:val="24"/>
              </w:rPr>
            </w:pPr>
          </w:p>
        </w:tc>
        <w:tc>
          <w:tcPr>
            <w:tcW w:w="253" w:type="pct"/>
            <w:vMerge w:val="continue"/>
            <w:tcBorders>
              <w:top w:val="nil"/>
              <w:left w:val="nil"/>
              <w:bottom w:val="nil"/>
              <w:right w:val="nil"/>
            </w:tcBorders>
            <w:vAlign w:val="center"/>
          </w:tcPr>
          <w:p w14:paraId="3D69C096">
            <w:pPr>
              <w:keepNext w:val="0"/>
              <w:keepLines w:val="0"/>
              <w:widowControl/>
              <w:suppressLineNumbers w:val="0"/>
              <w:spacing w:before="0" w:beforeAutospacing="0" w:after="0" w:afterAutospacing="0" w:line="240" w:lineRule="auto"/>
              <w:ind w:left="0" w:right="0"/>
              <w:jc w:val="left"/>
              <w:rPr>
                <w:rFonts w:hint="default" w:ascii="Times New Roman" w:hAnsi="Times New Roman" w:eastAsia="仿宋" w:cs="Times New Roman"/>
                <w:kern w:val="0"/>
                <w:sz w:val="22"/>
                <w:szCs w:val="24"/>
              </w:rPr>
            </w:pPr>
          </w:p>
        </w:tc>
        <w:tc>
          <w:tcPr>
            <w:tcW w:w="302" w:type="pct"/>
            <w:tcBorders>
              <w:top w:val="nil"/>
              <w:left w:val="nil"/>
              <w:bottom w:val="nil"/>
              <w:right w:val="nil"/>
            </w:tcBorders>
            <w:vAlign w:val="center"/>
          </w:tcPr>
          <w:p w14:paraId="1D0E08F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站台</w:t>
            </w:r>
          </w:p>
        </w:tc>
        <w:tc>
          <w:tcPr>
            <w:tcW w:w="303" w:type="pct"/>
            <w:tcBorders>
              <w:top w:val="nil"/>
              <w:left w:val="nil"/>
              <w:bottom w:val="nil"/>
              <w:right w:val="nil"/>
            </w:tcBorders>
            <w:vAlign w:val="center"/>
          </w:tcPr>
          <w:p w14:paraId="3E79E63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bCs/>
                <w:kern w:val="0"/>
                <w:sz w:val="22"/>
                <w:szCs w:val="24"/>
              </w:rPr>
            </w:pPr>
            <w:r>
              <w:rPr>
                <w:rFonts w:hint="eastAsia" w:ascii="Times New Roman" w:hAnsi="Times New Roman" w:eastAsia="仿宋" w:cs="Times New Roman"/>
                <w:bCs/>
                <w:kern w:val="0"/>
                <w:sz w:val="22"/>
                <w:szCs w:val="24"/>
              </w:rPr>
              <w:t>2</w:t>
            </w:r>
            <w:r>
              <w:rPr>
                <w:rFonts w:hint="default" w:ascii="Times New Roman" w:hAnsi="Times New Roman" w:eastAsia="仿宋" w:cs="Times New Roman"/>
                <w:bCs/>
                <w:kern w:val="0"/>
                <w:sz w:val="22"/>
                <w:szCs w:val="24"/>
              </w:rPr>
              <w:t>0</w:t>
            </w:r>
          </w:p>
        </w:tc>
        <w:tc>
          <w:tcPr>
            <w:tcW w:w="606" w:type="pct"/>
            <w:tcBorders>
              <w:top w:val="nil"/>
              <w:left w:val="nil"/>
              <w:bottom w:val="nil"/>
              <w:right w:val="nil"/>
            </w:tcBorders>
            <w:vAlign w:val="center"/>
          </w:tcPr>
          <w:p w14:paraId="6581653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1</w:t>
            </w:r>
            <w:r>
              <w:rPr>
                <w:rFonts w:hint="default" w:ascii="Times New Roman" w:hAnsi="Times New Roman" w:eastAsia="仿宋" w:cs="Times New Roman"/>
                <w:color w:val="000000"/>
                <w:kern w:val="0"/>
                <w:sz w:val="22"/>
                <w:szCs w:val="24"/>
              </w:rPr>
              <w:t>106.00</w:t>
            </w:r>
            <w:r>
              <w:rPr>
                <w:rFonts w:hint="default" w:ascii="Times New Roman" w:hAnsi="Times New Roman" w:eastAsia="仿宋" w:cs="Times New Roman"/>
                <w:kern w:val="0"/>
                <w:sz w:val="22"/>
                <w:szCs w:val="24"/>
              </w:rPr>
              <w:t>±299.69</w:t>
            </w:r>
          </w:p>
        </w:tc>
        <w:tc>
          <w:tcPr>
            <w:tcW w:w="27" w:type="pct"/>
            <w:tcBorders>
              <w:top w:val="nil"/>
              <w:left w:val="nil"/>
              <w:bottom w:val="nil"/>
              <w:right w:val="nil"/>
            </w:tcBorders>
            <w:vAlign w:val="center"/>
          </w:tcPr>
          <w:p w14:paraId="30156A7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6" w:type="pct"/>
            <w:tcBorders>
              <w:top w:val="nil"/>
              <w:left w:val="nil"/>
              <w:bottom w:val="nil"/>
              <w:right w:val="nil"/>
            </w:tcBorders>
            <w:vAlign w:val="center"/>
          </w:tcPr>
          <w:p w14:paraId="40A13B0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2</w:t>
            </w:r>
            <w:r>
              <w:rPr>
                <w:rFonts w:hint="default" w:ascii="Times New Roman" w:hAnsi="Times New Roman" w:eastAsia="仿宋" w:cs="Times New Roman"/>
                <w:color w:val="000000"/>
                <w:kern w:val="0"/>
                <w:sz w:val="22"/>
                <w:szCs w:val="24"/>
              </w:rPr>
              <w:t>0</w:t>
            </w:r>
          </w:p>
        </w:tc>
        <w:tc>
          <w:tcPr>
            <w:tcW w:w="653" w:type="pct"/>
            <w:tcBorders>
              <w:top w:val="nil"/>
              <w:left w:val="nil"/>
              <w:bottom w:val="nil"/>
              <w:right w:val="nil"/>
            </w:tcBorders>
            <w:vAlign w:val="center"/>
          </w:tcPr>
          <w:p w14:paraId="046179E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2</w:t>
            </w:r>
            <w:r>
              <w:rPr>
                <w:rFonts w:hint="default" w:ascii="Times New Roman" w:hAnsi="Times New Roman" w:eastAsia="仿宋" w:cs="Times New Roman"/>
                <w:color w:val="000000"/>
                <w:kern w:val="0"/>
                <w:sz w:val="22"/>
                <w:szCs w:val="24"/>
              </w:rPr>
              <w:t>13.96</w:t>
            </w:r>
            <w:r>
              <w:rPr>
                <w:rFonts w:hint="default" w:ascii="Times New Roman" w:hAnsi="Times New Roman" w:eastAsia="仿宋" w:cs="Times New Roman"/>
                <w:kern w:val="0"/>
                <w:sz w:val="22"/>
                <w:szCs w:val="24"/>
              </w:rPr>
              <w:t>±100.41</w:t>
            </w:r>
          </w:p>
        </w:tc>
        <w:tc>
          <w:tcPr>
            <w:tcW w:w="23" w:type="pct"/>
            <w:tcBorders>
              <w:top w:val="nil"/>
              <w:left w:val="nil"/>
              <w:bottom w:val="nil"/>
              <w:right w:val="nil"/>
            </w:tcBorders>
            <w:vAlign w:val="center"/>
          </w:tcPr>
          <w:p w14:paraId="2A8EFD1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286" w:type="pct"/>
            <w:tcBorders>
              <w:top w:val="nil"/>
              <w:left w:val="nil"/>
              <w:bottom w:val="nil"/>
              <w:right w:val="nil"/>
            </w:tcBorders>
            <w:vAlign w:val="center"/>
          </w:tcPr>
          <w:p w14:paraId="4A8F671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6</w:t>
            </w:r>
          </w:p>
        </w:tc>
        <w:tc>
          <w:tcPr>
            <w:tcW w:w="622" w:type="pct"/>
            <w:tcBorders>
              <w:top w:val="nil"/>
              <w:left w:val="nil"/>
              <w:bottom w:val="nil"/>
              <w:right w:val="nil"/>
            </w:tcBorders>
            <w:vAlign w:val="center"/>
          </w:tcPr>
          <w:p w14:paraId="7A71D49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6</w:t>
            </w:r>
            <w:r>
              <w:rPr>
                <w:rFonts w:hint="default" w:ascii="Times New Roman" w:hAnsi="Times New Roman" w:eastAsia="仿宋" w:cs="Times New Roman"/>
                <w:color w:val="000000"/>
                <w:kern w:val="0"/>
                <w:sz w:val="22"/>
                <w:szCs w:val="24"/>
              </w:rPr>
              <w:t>86.67</w:t>
            </w:r>
            <w:r>
              <w:rPr>
                <w:rFonts w:hint="default" w:ascii="Times New Roman" w:hAnsi="Times New Roman" w:eastAsia="仿宋" w:cs="Times New Roman"/>
                <w:kern w:val="0"/>
                <w:sz w:val="22"/>
                <w:szCs w:val="24"/>
              </w:rPr>
              <w:t>±258.66</w:t>
            </w:r>
          </w:p>
        </w:tc>
        <w:tc>
          <w:tcPr>
            <w:tcW w:w="49" w:type="pct"/>
            <w:tcBorders>
              <w:top w:val="nil"/>
              <w:left w:val="nil"/>
              <w:bottom w:val="nil"/>
              <w:right w:val="nil"/>
            </w:tcBorders>
            <w:vAlign w:val="center"/>
          </w:tcPr>
          <w:p w14:paraId="7BF651E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58" w:type="pct"/>
            <w:tcBorders>
              <w:top w:val="nil"/>
              <w:left w:val="nil"/>
              <w:bottom w:val="nil"/>
              <w:right w:val="nil"/>
            </w:tcBorders>
            <w:shd w:val="clear" w:color="auto" w:fill="auto"/>
            <w:vAlign w:val="center"/>
          </w:tcPr>
          <w:p w14:paraId="33B177E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default" w:ascii="Times New Roman" w:hAnsi="Times New Roman" w:eastAsia="宋体" w:cs="Times New Roman"/>
                <w:color w:val="000000"/>
                <w:kern w:val="0"/>
                <w:sz w:val="22"/>
                <w:szCs w:val="20"/>
              </w:rPr>
              <w:t xml:space="preserve">892.04 </w:t>
            </w:r>
          </w:p>
        </w:tc>
        <w:tc>
          <w:tcPr>
            <w:tcW w:w="285" w:type="pct"/>
            <w:tcBorders>
              <w:top w:val="nil"/>
              <w:left w:val="nil"/>
              <w:bottom w:val="nil"/>
              <w:right w:val="nil"/>
            </w:tcBorders>
            <w:shd w:val="clear" w:color="auto" w:fill="auto"/>
            <w:vAlign w:val="center"/>
          </w:tcPr>
          <w:p w14:paraId="3A523A3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default" w:ascii="Times New Roman" w:hAnsi="Times New Roman" w:eastAsia="宋体" w:cs="Times New Roman"/>
                <w:color w:val="000000"/>
                <w:kern w:val="0"/>
                <w:sz w:val="22"/>
                <w:szCs w:val="20"/>
              </w:rPr>
              <w:t xml:space="preserve">5.17 </w:t>
            </w:r>
          </w:p>
        </w:tc>
        <w:tc>
          <w:tcPr>
            <w:tcW w:w="51" w:type="pct"/>
            <w:tcBorders>
              <w:top w:val="nil"/>
              <w:left w:val="nil"/>
              <w:bottom w:val="nil"/>
              <w:right w:val="nil"/>
            </w:tcBorders>
            <w:vAlign w:val="center"/>
          </w:tcPr>
          <w:p w14:paraId="7F90A45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0" w:type="pct"/>
            <w:tcBorders>
              <w:top w:val="nil"/>
              <w:left w:val="nil"/>
              <w:bottom w:val="nil"/>
              <w:right w:val="nil"/>
            </w:tcBorders>
            <w:shd w:val="clear" w:color="auto" w:fill="auto"/>
            <w:vAlign w:val="center"/>
          </w:tcPr>
          <w:p w14:paraId="6AFCFB8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default" w:ascii="Times New Roman" w:hAnsi="Times New Roman" w:eastAsia="宋体" w:cs="Times New Roman"/>
                <w:color w:val="000000"/>
                <w:kern w:val="0"/>
                <w:sz w:val="22"/>
                <w:szCs w:val="20"/>
              </w:rPr>
              <w:t xml:space="preserve">419.33 </w:t>
            </w:r>
          </w:p>
        </w:tc>
        <w:tc>
          <w:tcPr>
            <w:tcW w:w="283" w:type="pct"/>
            <w:tcBorders>
              <w:top w:val="nil"/>
              <w:left w:val="nil"/>
              <w:bottom w:val="nil"/>
              <w:right w:val="nil"/>
            </w:tcBorders>
            <w:shd w:val="clear" w:color="auto" w:fill="auto"/>
            <w:vAlign w:val="center"/>
          </w:tcPr>
          <w:p w14:paraId="0649B81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default" w:ascii="Times New Roman" w:hAnsi="Times New Roman" w:eastAsia="宋体" w:cs="Times New Roman"/>
                <w:color w:val="000000"/>
                <w:kern w:val="0"/>
                <w:sz w:val="22"/>
                <w:szCs w:val="20"/>
              </w:rPr>
              <w:t xml:space="preserve">1.61 </w:t>
            </w:r>
          </w:p>
        </w:tc>
      </w:tr>
      <w:tr w14:paraId="7C41523F">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97" w:hRule="atLeast"/>
        </w:trPr>
        <w:tc>
          <w:tcPr>
            <w:tcW w:w="253" w:type="pct"/>
            <w:vMerge w:val="continue"/>
            <w:tcBorders>
              <w:top w:val="single" w:color="auto" w:sz="4" w:space="0"/>
              <w:left w:val="nil"/>
              <w:bottom w:val="single" w:color="auto" w:sz="4" w:space="0"/>
              <w:right w:val="nil"/>
            </w:tcBorders>
            <w:vAlign w:val="center"/>
          </w:tcPr>
          <w:p w14:paraId="5CA2BB3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p>
        </w:tc>
        <w:tc>
          <w:tcPr>
            <w:tcW w:w="253" w:type="pct"/>
            <w:vMerge w:val="restart"/>
            <w:tcBorders>
              <w:top w:val="nil"/>
              <w:left w:val="nil"/>
              <w:bottom w:val="nil"/>
              <w:right w:val="nil"/>
            </w:tcBorders>
            <w:vAlign w:val="center"/>
          </w:tcPr>
          <w:p w14:paraId="69F4EE8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全天</w:t>
            </w:r>
          </w:p>
        </w:tc>
        <w:tc>
          <w:tcPr>
            <w:tcW w:w="302" w:type="pct"/>
            <w:tcBorders>
              <w:top w:val="nil"/>
              <w:left w:val="nil"/>
              <w:bottom w:val="nil"/>
              <w:right w:val="nil"/>
            </w:tcBorders>
            <w:vAlign w:val="center"/>
          </w:tcPr>
          <w:p w14:paraId="747021D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站厅</w:t>
            </w:r>
          </w:p>
        </w:tc>
        <w:tc>
          <w:tcPr>
            <w:tcW w:w="303" w:type="pct"/>
            <w:tcBorders>
              <w:top w:val="nil"/>
              <w:left w:val="nil"/>
              <w:bottom w:val="nil"/>
              <w:right w:val="nil"/>
            </w:tcBorders>
            <w:vAlign w:val="center"/>
          </w:tcPr>
          <w:p w14:paraId="0CCFED2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bCs/>
                <w:kern w:val="0"/>
                <w:sz w:val="22"/>
                <w:szCs w:val="24"/>
              </w:rPr>
            </w:pPr>
            <w:r>
              <w:rPr>
                <w:rFonts w:hint="eastAsia" w:ascii="Times New Roman" w:hAnsi="Times New Roman" w:eastAsia="仿宋" w:cs="Times New Roman"/>
                <w:bCs/>
                <w:kern w:val="0"/>
                <w:sz w:val="22"/>
                <w:szCs w:val="24"/>
              </w:rPr>
              <w:t>4</w:t>
            </w:r>
            <w:r>
              <w:rPr>
                <w:rFonts w:hint="default" w:ascii="Times New Roman" w:hAnsi="Times New Roman" w:eastAsia="仿宋" w:cs="Times New Roman"/>
                <w:bCs/>
                <w:kern w:val="0"/>
                <w:sz w:val="22"/>
                <w:szCs w:val="24"/>
              </w:rPr>
              <w:t>0</w:t>
            </w:r>
          </w:p>
        </w:tc>
        <w:tc>
          <w:tcPr>
            <w:tcW w:w="606" w:type="pct"/>
            <w:tcBorders>
              <w:top w:val="nil"/>
              <w:left w:val="nil"/>
              <w:bottom w:val="nil"/>
              <w:right w:val="nil"/>
            </w:tcBorders>
            <w:vAlign w:val="center"/>
          </w:tcPr>
          <w:p w14:paraId="1FCAEC1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2</w:t>
            </w:r>
            <w:r>
              <w:rPr>
                <w:rFonts w:hint="default" w:ascii="Times New Roman" w:hAnsi="Times New Roman" w:eastAsia="仿宋" w:cs="Times New Roman"/>
                <w:color w:val="000000"/>
                <w:kern w:val="0"/>
                <w:sz w:val="22"/>
                <w:szCs w:val="24"/>
              </w:rPr>
              <w:t>749.50</w:t>
            </w:r>
            <w:r>
              <w:rPr>
                <w:rFonts w:hint="default" w:ascii="Times New Roman" w:hAnsi="Times New Roman" w:eastAsia="仿宋" w:cs="Times New Roman"/>
                <w:kern w:val="0"/>
                <w:sz w:val="22"/>
                <w:szCs w:val="24"/>
              </w:rPr>
              <w:t>±1035.19</w:t>
            </w:r>
          </w:p>
        </w:tc>
        <w:tc>
          <w:tcPr>
            <w:tcW w:w="27" w:type="pct"/>
            <w:tcBorders>
              <w:top w:val="nil"/>
              <w:left w:val="nil"/>
              <w:bottom w:val="nil"/>
              <w:right w:val="nil"/>
            </w:tcBorders>
            <w:vAlign w:val="center"/>
          </w:tcPr>
          <w:p w14:paraId="46CFAA7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6" w:type="pct"/>
            <w:tcBorders>
              <w:top w:val="nil"/>
              <w:left w:val="nil"/>
              <w:bottom w:val="nil"/>
              <w:right w:val="nil"/>
            </w:tcBorders>
            <w:vAlign w:val="center"/>
          </w:tcPr>
          <w:p w14:paraId="27CB39A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4</w:t>
            </w:r>
            <w:r>
              <w:rPr>
                <w:rFonts w:hint="default" w:ascii="Times New Roman" w:hAnsi="Times New Roman" w:eastAsia="仿宋" w:cs="Times New Roman"/>
                <w:color w:val="000000"/>
                <w:kern w:val="0"/>
                <w:sz w:val="22"/>
                <w:szCs w:val="24"/>
              </w:rPr>
              <w:t>0</w:t>
            </w:r>
          </w:p>
        </w:tc>
        <w:tc>
          <w:tcPr>
            <w:tcW w:w="653" w:type="pct"/>
            <w:tcBorders>
              <w:top w:val="nil"/>
              <w:left w:val="nil"/>
              <w:bottom w:val="nil"/>
              <w:right w:val="nil"/>
            </w:tcBorders>
            <w:vAlign w:val="center"/>
          </w:tcPr>
          <w:p w14:paraId="3A6E70E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4</w:t>
            </w:r>
            <w:r>
              <w:rPr>
                <w:rFonts w:hint="default" w:ascii="Times New Roman" w:hAnsi="Times New Roman" w:eastAsia="仿宋" w:cs="Times New Roman"/>
                <w:color w:val="000000"/>
                <w:kern w:val="0"/>
                <w:sz w:val="22"/>
                <w:szCs w:val="24"/>
              </w:rPr>
              <w:t>41.43</w:t>
            </w:r>
            <w:r>
              <w:rPr>
                <w:rFonts w:hint="default" w:ascii="Times New Roman" w:hAnsi="Times New Roman" w:eastAsia="仿宋" w:cs="Times New Roman"/>
                <w:kern w:val="0"/>
                <w:sz w:val="22"/>
                <w:szCs w:val="24"/>
              </w:rPr>
              <w:t>±218.98</w:t>
            </w:r>
          </w:p>
        </w:tc>
        <w:tc>
          <w:tcPr>
            <w:tcW w:w="23" w:type="pct"/>
            <w:tcBorders>
              <w:top w:val="nil"/>
              <w:left w:val="nil"/>
              <w:bottom w:val="nil"/>
              <w:right w:val="nil"/>
            </w:tcBorders>
            <w:vAlign w:val="center"/>
          </w:tcPr>
          <w:p w14:paraId="39EE86E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286" w:type="pct"/>
            <w:tcBorders>
              <w:top w:val="nil"/>
              <w:left w:val="nil"/>
              <w:bottom w:val="nil"/>
              <w:right w:val="nil"/>
            </w:tcBorders>
            <w:vAlign w:val="center"/>
          </w:tcPr>
          <w:p w14:paraId="0EBAAAE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1</w:t>
            </w:r>
            <w:r>
              <w:rPr>
                <w:rFonts w:hint="default" w:ascii="Times New Roman" w:hAnsi="Times New Roman" w:eastAsia="仿宋" w:cs="Times New Roman"/>
                <w:color w:val="000000"/>
                <w:kern w:val="0"/>
                <w:sz w:val="22"/>
                <w:szCs w:val="24"/>
              </w:rPr>
              <w:t>2</w:t>
            </w:r>
          </w:p>
        </w:tc>
        <w:tc>
          <w:tcPr>
            <w:tcW w:w="622" w:type="pct"/>
            <w:tcBorders>
              <w:top w:val="nil"/>
              <w:left w:val="nil"/>
              <w:bottom w:val="nil"/>
              <w:right w:val="nil"/>
            </w:tcBorders>
            <w:vAlign w:val="center"/>
          </w:tcPr>
          <w:p w14:paraId="2A3B4F5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1</w:t>
            </w:r>
            <w:r>
              <w:rPr>
                <w:rFonts w:hint="default" w:ascii="Times New Roman" w:hAnsi="Times New Roman" w:eastAsia="仿宋" w:cs="Times New Roman"/>
                <w:color w:val="000000"/>
                <w:kern w:val="0"/>
                <w:sz w:val="22"/>
                <w:szCs w:val="24"/>
              </w:rPr>
              <w:t>510.00</w:t>
            </w:r>
            <w:r>
              <w:rPr>
                <w:rFonts w:hint="default" w:ascii="Times New Roman" w:hAnsi="Times New Roman" w:eastAsia="仿宋" w:cs="Times New Roman"/>
                <w:kern w:val="0"/>
                <w:sz w:val="22"/>
                <w:szCs w:val="24"/>
              </w:rPr>
              <w:t>±943.05</w:t>
            </w:r>
          </w:p>
        </w:tc>
        <w:tc>
          <w:tcPr>
            <w:tcW w:w="49" w:type="pct"/>
            <w:tcBorders>
              <w:top w:val="nil"/>
              <w:left w:val="nil"/>
              <w:bottom w:val="nil"/>
              <w:right w:val="nil"/>
            </w:tcBorders>
            <w:vAlign w:val="center"/>
          </w:tcPr>
          <w:p w14:paraId="405F73E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58" w:type="pct"/>
            <w:tcBorders>
              <w:top w:val="nil"/>
              <w:left w:val="nil"/>
              <w:bottom w:val="nil"/>
              <w:right w:val="nil"/>
            </w:tcBorders>
            <w:shd w:val="clear" w:color="auto" w:fill="auto"/>
            <w:vAlign w:val="center"/>
          </w:tcPr>
          <w:p w14:paraId="28EE40B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default" w:ascii="Times New Roman" w:hAnsi="Times New Roman" w:eastAsia="宋体" w:cs="Times New Roman"/>
                <w:color w:val="000000"/>
                <w:kern w:val="0"/>
                <w:sz w:val="22"/>
                <w:szCs w:val="20"/>
              </w:rPr>
              <w:t xml:space="preserve">2308.07 </w:t>
            </w:r>
          </w:p>
        </w:tc>
        <w:tc>
          <w:tcPr>
            <w:tcW w:w="285" w:type="pct"/>
            <w:tcBorders>
              <w:top w:val="nil"/>
              <w:left w:val="nil"/>
              <w:bottom w:val="nil"/>
              <w:right w:val="nil"/>
            </w:tcBorders>
            <w:shd w:val="clear" w:color="auto" w:fill="auto"/>
            <w:vAlign w:val="center"/>
          </w:tcPr>
          <w:p w14:paraId="573526C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default" w:ascii="Times New Roman" w:hAnsi="Times New Roman" w:eastAsia="宋体" w:cs="Times New Roman"/>
                <w:color w:val="000000"/>
                <w:kern w:val="0"/>
                <w:sz w:val="22"/>
                <w:szCs w:val="20"/>
              </w:rPr>
              <w:t xml:space="preserve">6.23 </w:t>
            </w:r>
          </w:p>
        </w:tc>
        <w:tc>
          <w:tcPr>
            <w:tcW w:w="51" w:type="pct"/>
            <w:tcBorders>
              <w:top w:val="nil"/>
              <w:left w:val="nil"/>
              <w:bottom w:val="nil"/>
              <w:right w:val="nil"/>
            </w:tcBorders>
            <w:vAlign w:val="center"/>
          </w:tcPr>
          <w:p w14:paraId="2D1DCE5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0" w:type="pct"/>
            <w:tcBorders>
              <w:top w:val="nil"/>
              <w:left w:val="nil"/>
              <w:bottom w:val="nil"/>
              <w:right w:val="nil"/>
            </w:tcBorders>
            <w:shd w:val="clear" w:color="auto" w:fill="auto"/>
            <w:vAlign w:val="center"/>
          </w:tcPr>
          <w:p w14:paraId="6B822AA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default" w:ascii="Times New Roman" w:hAnsi="Times New Roman" w:eastAsia="宋体" w:cs="Times New Roman"/>
                <w:color w:val="000000"/>
                <w:kern w:val="0"/>
                <w:sz w:val="22"/>
                <w:szCs w:val="20"/>
              </w:rPr>
              <w:t xml:space="preserve">1239.50 </w:t>
            </w:r>
          </w:p>
        </w:tc>
        <w:tc>
          <w:tcPr>
            <w:tcW w:w="283" w:type="pct"/>
            <w:tcBorders>
              <w:top w:val="nil"/>
              <w:left w:val="nil"/>
              <w:bottom w:val="nil"/>
              <w:right w:val="nil"/>
            </w:tcBorders>
            <w:shd w:val="clear" w:color="auto" w:fill="auto"/>
            <w:vAlign w:val="center"/>
          </w:tcPr>
          <w:p w14:paraId="7BAB78A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default" w:ascii="Times New Roman" w:hAnsi="Times New Roman" w:eastAsia="宋体" w:cs="Times New Roman"/>
                <w:color w:val="000000"/>
                <w:kern w:val="0"/>
                <w:sz w:val="22"/>
                <w:szCs w:val="20"/>
              </w:rPr>
              <w:t xml:space="preserve">1.82 </w:t>
            </w:r>
          </w:p>
        </w:tc>
      </w:tr>
      <w:tr w14:paraId="51848DAA">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97" w:hRule="atLeast"/>
        </w:trPr>
        <w:tc>
          <w:tcPr>
            <w:tcW w:w="253" w:type="pct"/>
            <w:vMerge w:val="continue"/>
            <w:tcBorders>
              <w:top w:val="single" w:color="auto" w:sz="4" w:space="0"/>
              <w:left w:val="nil"/>
              <w:bottom w:val="single" w:color="auto" w:sz="4" w:space="0"/>
              <w:right w:val="nil"/>
            </w:tcBorders>
            <w:vAlign w:val="center"/>
          </w:tcPr>
          <w:p w14:paraId="70FD2D2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p>
        </w:tc>
        <w:tc>
          <w:tcPr>
            <w:tcW w:w="253" w:type="pct"/>
            <w:vMerge w:val="continue"/>
            <w:tcBorders>
              <w:top w:val="nil"/>
              <w:left w:val="nil"/>
              <w:bottom w:val="single" w:color="auto" w:sz="4" w:space="0"/>
              <w:right w:val="nil"/>
            </w:tcBorders>
            <w:vAlign w:val="center"/>
          </w:tcPr>
          <w:p w14:paraId="3BBA0B28">
            <w:pPr>
              <w:keepNext w:val="0"/>
              <w:keepLines w:val="0"/>
              <w:widowControl/>
              <w:suppressLineNumbers w:val="0"/>
              <w:spacing w:before="0" w:beforeAutospacing="0" w:after="0" w:afterAutospacing="0" w:line="240" w:lineRule="auto"/>
              <w:ind w:left="0" w:right="0"/>
              <w:jc w:val="left"/>
              <w:rPr>
                <w:rFonts w:hint="default" w:ascii="Times New Roman" w:hAnsi="Times New Roman" w:eastAsia="仿宋" w:cs="Times New Roman"/>
                <w:kern w:val="0"/>
                <w:sz w:val="22"/>
                <w:szCs w:val="24"/>
              </w:rPr>
            </w:pPr>
          </w:p>
        </w:tc>
        <w:tc>
          <w:tcPr>
            <w:tcW w:w="302" w:type="pct"/>
            <w:tcBorders>
              <w:top w:val="nil"/>
              <w:left w:val="nil"/>
              <w:bottom w:val="single" w:color="auto" w:sz="6" w:space="0"/>
              <w:right w:val="nil"/>
            </w:tcBorders>
            <w:vAlign w:val="center"/>
          </w:tcPr>
          <w:p w14:paraId="6B4ADD3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站台</w:t>
            </w:r>
          </w:p>
        </w:tc>
        <w:tc>
          <w:tcPr>
            <w:tcW w:w="303" w:type="pct"/>
            <w:tcBorders>
              <w:top w:val="nil"/>
              <w:left w:val="nil"/>
              <w:bottom w:val="single" w:color="auto" w:sz="6" w:space="0"/>
              <w:right w:val="nil"/>
            </w:tcBorders>
            <w:vAlign w:val="center"/>
          </w:tcPr>
          <w:p w14:paraId="32155F1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bCs/>
                <w:kern w:val="0"/>
                <w:sz w:val="22"/>
                <w:szCs w:val="24"/>
              </w:rPr>
            </w:pPr>
            <w:r>
              <w:rPr>
                <w:rFonts w:hint="eastAsia" w:ascii="Times New Roman" w:hAnsi="Times New Roman" w:eastAsia="仿宋" w:cs="Times New Roman"/>
                <w:bCs/>
                <w:kern w:val="0"/>
                <w:sz w:val="22"/>
                <w:szCs w:val="24"/>
              </w:rPr>
              <w:t>4</w:t>
            </w:r>
            <w:r>
              <w:rPr>
                <w:rFonts w:hint="default" w:ascii="Times New Roman" w:hAnsi="Times New Roman" w:eastAsia="仿宋" w:cs="Times New Roman"/>
                <w:bCs/>
                <w:kern w:val="0"/>
                <w:sz w:val="22"/>
                <w:szCs w:val="24"/>
              </w:rPr>
              <w:t>0</w:t>
            </w:r>
          </w:p>
        </w:tc>
        <w:tc>
          <w:tcPr>
            <w:tcW w:w="606" w:type="pct"/>
            <w:tcBorders>
              <w:top w:val="nil"/>
              <w:left w:val="nil"/>
              <w:bottom w:val="single" w:color="auto" w:sz="6" w:space="0"/>
              <w:right w:val="nil"/>
            </w:tcBorders>
            <w:vAlign w:val="center"/>
          </w:tcPr>
          <w:p w14:paraId="78EE0CE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1</w:t>
            </w:r>
            <w:r>
              <w:rPr>
                <w:rFonts w:hint="default" w:ascii="Times New Roman" w:hAnsi="Times New Roman" w:eastAsia="仿宋" w:cs="Times New Roman"/>
                <w:color w:val="000000"/>
                <w:kern w:val="0"/>
                <w:sz w:val="22"/>
                <w:szCs w:val="24"/>
              </w:rPr>
              <w:t>367.00</w:t>
            </w:r>
            <w:r>
              <w:rPr>
                <w:rFonts w:hint="default" w:ascii="Times New Roman" w:hAnsi="Times New Roman" w:eastAsia="仿宋" w:cs="Times New Roman"/>
                <w:kern w:val="0"/>
                <w:sz w:val="22"/>
                <w:szCs w:val="24"/>
              </w:rPr>
              <w:t>±463.33</w:t>
            </w:r>
          </w:p>
        </w:tc>
        <w:tc>
          <w:tcPr>
            <w:tcW w:w="27" w:type="pct"/>
            <w:tcBorders>
              <w:top w:val="nil"/>
              <w:left w:val="nil"/>
              <w:bottom w:val="single" w:color="auto" w:sz="6" w:space="0"/>
              <w:right w:val="nil"/>
            </w:tcBorders>
            <w:vAlign w:val="center"/>
          </w:tcPr>
          <w:p w14:paraId="5F73184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6" w:type="pct"/>
            <w:tcBorders>
              <w:top w:val="nil"/>
              <w:left w:val="nil"/>
              <w:bottom w:val="single" w:color="auto" w:sz="6" w:space="0"/>
              <w:right w:val="nil"/>
            </w:tcBorders>
            <w:vAlign w:val="center"/>
          </w:tcPr>
          <w:p w14:paraId="5D76FB3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4</w:t>
            </w:r>
            <w:r>
              <w:rPr>
                <w:rFonts w:hint="default" w:ascii="Times New Roman" w:hAnsi="Times New Roman" w:eastAsia="仿宋" w:cs="Times New Roman"/>
                <w:color w:val="000000"/>
                <w:kern w:val="0"/>
                <w:sz w:val="22"/>
                <w:szCs w:val="24"/>
              </w:rPr>
              <w:t>0</w:t>
            </w:r>
          </w:p>
        </w:tc>
        <w:tc>
          <w:tcPr>
            <w:tcW w:w="653" w:type="pct"/>
            <w:tcBorders>
              <w:top w:val="nil"/>
              <w:left w:val="nil"/>
              <w:bottom w:val="single" w:color="auto" w:sz="6" w:space="0"/>
              <w:right w:val="nil"/>
            </w:tcBorders>
            <w:vAlign w:val="center"/>
          </w:tcPr>
          <w:p w14:paraId="388F3E6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2</w:t>
            </w:r>
            <w:r>
              <w:rPr>
                <w:rFonts w:hint="default" w:ascii="Times New Roman" w:hAnsi="Times New Roman" w:eastAsia="仿宋" w:cs="Times New Roman"/>
                <w:color w:val="000000"/>
                <w:kern w:val="0"/>
                <w:sz w:val="22"/>
                <w:szCs w:val="24"/>
              </w:rPr>
              <w:t>74.65</w:t>
            </w:r>
            <w:r>
              <w:rPr>
                <w:rFonts w:hint="default" w:ascii="Times New Roman" w:hAnsi="Times New Roman" w:eastAsia="仿宋" w:cs="Times New Roman"/>
                <w:kern w:val="0"/>
                <w:sz w:val="22"/>
                <w:szCs w:val="24"/>
              </w:rPr>
              <w:t>±125.14</w:t>
            </w:r>
          </w:p>
        </w:tc>
        <w:tc>
          <w:tcPr>
            <w:tcW w:w="23" w:type="pct"/>
            <w:tcBorders>
              <w:top w:val="nil"/>
              <w:left w:val="nil"/>
              <w:bottom w:val="single" w:color="auto" w:sz="6" w:space="0"/>
              <w:right w:val="nil"/>
            </w:tcBorders>
            <w:vAlign w:val="center"/>
          </w:tcPr>
          <w:p w14:paraId="6A59A05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286" w:type="pct"/>
            <w:tcBorders>
              <w:top w:val="nil"/>
              <w:left w:val="nil"/>
              <w:bottom w:val="single" w:color="auto" w:sz="6" w:space="0"/>
              <w:right w:val="nil"/>
            </w:tcBorders>
            <w:vAlign w:val="center"/>
          </w:tcPr>
          <w:p w14:paraId="0B69799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1</w:t>
            </w:r>
            <w:r>
              <w:rPr>
                <w:rFonts w:hint="default" w:ascii="Times New Roman" w:hAnsi="Times New Roman" w:eastAsia="仿宋" w:cs="Times New Roman"/>
                <w:color w:val="000000"/>
                <w:kern w:val="0"/>
                <w:sz w:val="22"/>
                <w:szCs w:val="24"/>
              </w:rPr>
              <w:t>2</w:t>
            </w:r>
          </w:p>
        </w:tc>
        <w:tc>
          <w:tcPr>
            <w:tcW w:w="622" w:type="pct"/>
            <w:tcBorders>
              <w:top w:val="nil"/>
              <w:left w:val="nil"/>
              <w:bottom w:val="single" w:color="auto" w:sz="6" w:space="0"/>
              <w:right w:val="nil"/>
            </w:tcBorders>
            <w:vAlign w:val="center"/>
          </w:tcPr>
          <w:p w14:paraId="686B122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9</w:t>
            </w:r>
            <w:r>
              <w:rPr>
                <w:rFonts w:hint="default" w:ascii="Times New Roman" w:hAnsi="Times New Roman" w:eastAsia="仿宋" w:cs="Times New Roman"/>
                <w:color w:val="000000"/>
                <w:kern w:val="0"/>
                <w:sz w:val="22"/>
                <w:szCs w:val="24"/>
              </w:rPr>
              <w:t>09.17</w:t>
            </w:r>
            <w:r>
              <w:rPr>
                <w:rFonts w:hint="default" w:ascii="Times New Roman" w:hAnsi="Times New Roman" w:eastAsia="仿宋" w:cs="Times New Roman"/>
                <w:kern w:val="0"/>
                <w:sz w:val="22"/>
                <w:szCs w:val="24"/>
              </w:rPr>
              <w:t>±451.97</w:t>
            </w:r>
          </w:p>
        </w:tc>
        <w:tc>
          <w:tcPr>
            <w:tcW w:w="49" w:type="pct"/>
            <w:tcBorders>
              <w:top w:val="nil"/>
              <w:left w:val="nil"/>
              <w:bottom w:val="single" w:color="auto" w:sz="6" w:space="0"/>
              <w:right w:val="nil"/>
            </w:tcBorders>
            <w:vAlign w:val="center"/>
          </w:tcPr>
          <w:p w14:paraId="6EA3B8F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58" w:type="pct"/>
            <w:tcBorders>
              <w:top w:val="nil"/>
              <w:left w:val="nil"/>
              <w:bottom w:val="nil"/>
              <w:right w:val="nil"/>
            </w:tcBorders>
            <w:shd w:val="clear" w:color="auto" w:fill="auto"/>
            <w:vAlign w:val="center"/>
          </w:tcPr>
          <w:p w14:paraId="19FB6C9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default" w:ascii="Times New Roman" w:hAnsi="Times New Roman" w:eastAsia="宋体" w:cs="Times New Roman"/>
                <w:color w:val="000000"/>
                <w:kern w:val="0"/>
                <w:sz w:val="22"/>
                <w:szCs w:val="20"/>
              </w:rPr>
              <w:t xml:space="preserve">1092.35 </w:t>
            </w:r>
          </w:p>
        </w:tc>
        <w:tc>
          <w:tcPr>
            <w:tcW w:w="285" w:type="pct"/>
            <w:tcBorders>
              <w:top w:val="nil"/>
              <w:left w:val="nil"/>
              <w:bottom w:val="nil"/>
              <w:right w:val="nil"/>
            </w:tcBorders>
            <w:shd w:val="clear" w:color="auto" w:fill="auto"/>
            <w:vAlign w:val="center"/>
          </w:tcPr>
          <w:p w14:paraId="5D81B1B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default" w:ascii="Times New Roman" w:hAnsi="Times New Roman" w:eastAsia="宋体" w:cs="Times New Roman"/>
                <w:color w:val="000000"/>
                <w:kern w:val="0"/>
                <w:sz w:val="22"/>
                <w:szCs w:val="20"/>
              </w:rPr>
              <w:t xml:space="preserve">4.98 </w:t>
            </w:r>
          </w:p>
        </w:tc>
        <w:tc>
          <w:tcPr>
            <w:tcW w:w="51" w:type="pct"/>
            <w:tcBorders>
              <w:top w:val="nil"/>
              <w:left w:val="nil"/>
              <w:bottom w:val="single" w:color="auto" w:sz="6" w:space="0"/>
              <w:right w:val="nil"/>
            </w:tcBorders>
            <w:vAlign w:val="center"/>
          </w:tcPr>
          <w:p w14:paraId="538CE4D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0" w:type="pct"/>
            <w:tcBorders>
              <w:top w:val="nil"/>
              <w:left w:val="nil"/>
              <w:bottom w:val="nil"/>
              <w:right w:val="nil"/>
            </w:tcBorders>
            <w:shd w:val="clear" w:color="auto" w:fill="auto"/>
            <w:vAlign w:val="center"/>
          </w:tcPr>
          <w:p w14:paraId="5F351BD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default" w:ascii="Times New Roman" w:hAnsi="Times New Roman" w:eastAsia="宋体" w:cs="Times New Roman"/>
                <w:color w:val="000000"/>
                <w:kern w:val="0"/>
                <w:sz w:val="22"/>
                <w:szCs w:val="20"/>
              </w:rPr>
              <w:t xml:space="preserve">457.83 </w:t>
            </w:r>
          </w:p>
        </w:tc>
        <w:tc>
          <w:tcPr>
            <w:tcW w:w="283" w:type="pct"/>
            <w:tcBorders>
              <w:top w:val="nil"/>
              <w:left w:val="nil"/>
              <w:bottom w:val="nil"/>
              <w:right w:val="nil"/>
            </w:tcBorders>
            <w:shd w:val="clear" w:color="auto" w:fill="auto"/>
            <w:vAlign w:val="center"/>
          </w:tcPr>
          <w:p w14:paraId="137A2FB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default" w:ascii="Times New Roman" w:hAnsi="Times New Roman" w:eastAsia="宋体" w:cs="Times New Roman"/>
                <w:color w:val="000000"/>
                <w:kern w:val="0"/>
                <w:sz w:val="22"/>
                <w:szCs w:val="20"/>
              </w:rPr>
              <w:t xml:space="preserve">1.50 </w:t>
            </w:r>
          </w:p>
        </w:tc>
      </w:tr>
      <w:tr w14:paraId="0593C45B">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97" w:hRule="atLeast"/>
        </w:trPr>
        <w:tc>
          <w:tcPr>
            <w:tcW w:w="253" w:type="pct"/>
            <w:vMerge w:val="continue"/>
            <w:tcBorders>
              <w:top w:val="single" w:color="auto" w:sz="4" w:space="0"/>
              <w:left w:val="nil"/>
              <w:bottom w:val="single" w:color="auto" w:sz="4" w:space="0"/>
              <w:right w:val="nil"/>
            </w:tcBorders>
            <w:vAlign w:val="center"/>
          </w:tcPr>
          <w:p w14:paraId="653B8FF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p>
        </w:tc>
        <w:tc>
          <w:tcPr>
            <w:tcW w:w="253" w:type="pct"/>
            <w:tcBorders>
              <w:top w:val="single" w:color="auto" w:sz="4" w:space="0"/>
              <w:left w:val="nil"/>
              <w:bottom w:val="single" w:color="auto" w:sz="4" w:space="0"/>
              <w:right w:val="nil"/>
            </w:tcBorders>
            <w:vAlign w:val="center"/>
          </w:tcPr>
          <w:p w14:paraId="390EF56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r>
              <w:rPr>
                <w:rFonts w:hint="default" w:ascii="Times New Roman" w:hAnsi="Times New Roman" w:eastAsia="仿宋" w:cs="Times New Roman"/>
                <w:kern w:val="0"/>
                <w:sz w:val="22"/>
                <w:szCs w:val="24"/>
              </w:rPr>
              <w:t>合计</w:t>
            </w:r>
          </w:p>
        </w:tc>
        <w:tc>
          <w:tcPr>
            <w:tcW w:w="302" w:type="pct"/>
            <w:tcBorders>
              <w:top w:val="single" w:color="auto" w:sz="6" w:space="0"/>
              <w:left w:val="nil"/>
              <w:bottom w:val="single" w:color="auto" w:sz="4" w:space="0"/>
              <w:right w:val="nil"/>
            </w:tcBorders>
            <w:vAlign w:val="center"/>
          </w:tcPr>
          <w:p w14:paraId="0DEA831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p>
        </w:tc>
        <w:tc>
          <w:tcPr>
            <w:tcW w:w="303" w:type="pct"/>
            <w:tcBorders>
              <w:top w:val="single" w:color="auto" w:sz="6" w:space="0"/>
              <w:left w:val="nil"/>
              <w:bottom w:val="single" w:color="auto" w:sz="4" w:space="0"/>
              <w:right w:val="nil"/>
            </w:tcBorders>
            <w:vAlign w:val="center"/>
          </w:tcPr>
          <w:p w14:paraId="78B39BB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bCs/>
                <w:kern w:val="0"/>
                <w:sz w:val="22"/>
                <w:szCs w:val="24"/>
              </w:rPr>
            </w:pPr>
            <w:r>
              <w:rPr>
                <w:rFonts w:hint="eastAsia" w:ascii="Times New Roman" w:hAnsi="Times New Roman" w:eastAsia="仿宋" w:cs="Times New Roman"/>
                <w:bCs/>
                <w:kern w:val="0"/>
                <w:sz w:val="22"/>
                <w:szCs w:val="24"/>
              </w:rPr>
              <w:t>8</w:t>
            </w:r>
            <w:r>
              <w:rPr>
                <w:rFonts w:hint="default" w:ascii="Times New Roman" w:hAnsi="Times New Roman" w:eastAsia="仿宋" w:cs="Times New Roman"/>
                <w:bCs/>
                <w:kern w:val="0"/>
                <w:sz w:val="22"/>
                <w:szCs w:val="24"/>
              </w:rPr>
              <w:t>0</w:t>
            </w:r>
          </w:p>
        </w:tc>
        <w:tc>
          <w:tcPr>
            <w:tcW w:w="606" w:type="pct"/>
            <w:tcBorders>
              <w:top w:val="single" w:color="auto" w:sz="6" w:space="0"/>
              <w:left w:val="nil"/>
              <w:bottom w:val="single" w:color="auto" w:sz="4" w:space="0"/>
              <w:right w:val="nil"/>
            </w:tcBorders>
            <w:vAlign w:val="center"/>
          </w:tcPr>
          <w:p w14:paraId="1D69823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2</w:t>
            </w:r>
            <w:r>
              <w:rPr>
                <w:rFonts w:hint="default" w:ascii="Times New Roman" w:hAnsi="Times New Roman" w:eastAsia="仿宋" w:cs="Times New Roman"/>
                <w:color w:val="000000"/>
                <w:kern w:val="0"/>
                <w:sz w:val="22"/>
                <w:szCs w:val="24"/>
              </w:rPr>
              <w:t>058.25</w:t>
            </w:r>
            <w:r>
              <w:rPr>
                <w:rFonts w:hint="default" w:ascii="Times New Roman" w:hAnsi="Times New Roman" w:eastAsia="仿宋" w:cs="Times New Roman"/>
                <w:kern w:val="0"/>
                <w:sz w:val="22"/>
                <w:szCs w:val="24"/>
              </w:rPr>
              <w:t>±1057.77</w:t>
            </w:r>
          </w:p>
        </w:tc>
        <w:tc>
          <w:tcPr>
            <w:tcW w:w="27" w:type="pct"/>
            <w:tcBorders>
              <w:top w:val="single" w:color="auto" w:sz="6" w:space="0"/>
              <w:left w:val="nil"/>
              <w:bottom w:val="single" w:color="auto" w:sz="4" w:space="0"/>
              <w:right w:val="nil"/>
            </w:tcBorders>
            <w:vAlign w:val="center"/>
          </w:tcPr>
          <w:p w14:paraId="73B53D7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4"/>
              </w:rPr>
            </w:pPr>
          </w:p>
        </w:tc>
        <w:tc>
          <w:tcPr>
            <w:tcW w:w="326" w:type="pct"/>
            <w:tcBorders>
              <w:top w:val="single" w:color="auto" w:sz="6" w:space="0"/>
              <w:left w:val="nil"/>
              <w:bottom w:val="single" w:color="auto" w:sz="4" w:space="0"/>
              <w:right w:val="nil"/>
            </w:tcBorders>
            <w:vAlign w:val="center"/>
          </w:tcPr>
          <w:p w14:paraId="0B02DA2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8</w:t>
            </w:r>
            <w:r>
              <w:rPr>
                <w:rFonts w:hint="default" w:ascii="Times New Roman" w:hAnsi="Times New Roman" w:eastAsia="仿宋" w:cs="Times New Roman"/>
                <w:color w:val="000000"/>
                <w:kern w:val="0"/>
                <w:sz w:val="22"/>
                <w:szCs w:val="24"/>
              </w:rPr>
              <w:t>0</w:t>
            </w:r>
          </w:p>
        </w:tc>
        <w:tc>
          <w:tcPr>
            <w:tcW w:w="653" w:type="pct"/>
            <w:tcBorders>
              <w:top w:val="single" w:color="auto" w:sz="6" w:space="0"/>
              <w:left w:val="nil"/>
              <w:bottom w:val="single" w:color="auto" w:sz="4" w:space="0"/>
              <w:right w:val="nil"/>
            </w:tcBorders>
            <w:vAlign w:val="center"/>
          </w:tcPr>
          <w:p w14:paraId="077752A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3</w:t>
            </w:r>
            <w:r>
              <w:rPr>
                <w:rFonts w:hint="default" w:ascii="Times New Roman" w:hAnsi="Times New Roman" w:eastAsia="仿宋" w:cs="Times New Roman"/>
                <w:color w:val="000000"/>
                <w:kern w:val="0"/>
                <w:sz w:val="22"/>
                <w:szCs w:val="24"/>
              </w:rPr>
              <w:t>58.04</w:t>
            </w:r>
            <w:r>
              <w:rPr>
                <w:rFonts w:hint="default" w:ascii="Times New Roman" w:hAnsi="Times New Roman" w:eastAsia="仿宋" w:cs="Times New Roman"/>
                <w:kern w:val="0"/>
                <w:sz w:val="22"/>
                <w:szCs w:val="24"/>
              </w:rPr>
              <w:t>±196.07</w:t>
            </w:r>
          </w:p>
        </w:tc>
        <w:tc>
          <w:tcPr>
            <w:tcW w:w="23" w:type="pct"/>
            <w:tcBorders>
              <w:top w:val="single" w:color="auto" w:sz="6" w:space="0"/>
              <w:left w:val="nil"/>
              <w:bottom w:val="single" w:color="auto" w:sz="4" w:space="0"/>
              <w:right w:val="nil"/>
            </w:tcBorders>
            <w:vAlign w:val="center"/>
          </w:tcPr>
          <w:p w14:paraId="07AA6D4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286" w:type="pct"/>
            <w:tcBorders>
              <w:top w:val="single" w:color="auto" w:sz="6" w:space="0"/>
              <w:left w:val="nil"/>
              <w:bottom w:val="single" w:color="auto" w:sz="4" w:space="0"/>
              <w:right w:val="nil"/>
            </w:tcBorders>
            <w:vAlign w:val="center"/>
          </w:tcPr>
          <w:p w14:paraId="302F988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2</w:t>
            </w:r>
            <w:r>
              <w:rPr>
                <w:rFonts w:hint="default" w:ascii="Times New Roman" w:hAnsi="Times New Roman" w:eastAsia="仿宋" w:cs="Times New Roman"/>
                <w:color w:val="000000"/>
                <w:kern w:val="0"/>
                <w:sz w:val="22"/>
                <w:szCs w:val="24"/>
              </w:rPr>
              <w:t>4</w:t>
            </w:r>
          </w:p>
        </w:tc>
        <w:tc>
          <w:tcPr>
            <w:tcW w:w="622" w:type="pct"/>
            <w:tcBorders>
              <w:top w:val="single" w:color="auto" w:sz="6" w:space="0"/>
              <w:left w:val="nil"/>
              <w:bottom w:val="single" w:color="auto" w:sz="4" w:space="0"/>
              <w:right w:val="nil"/>
            </w:tcBorders>
            <w:vAlign w:val="center"/>
          </w:tcPr>
          <w:p w14:paraId="2CFC764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1</w:t>
            </w:r>
            <w:r>
              <w:rPr>
                <w:rFonts w:hint="default" w:ascii="Times New Roman" w:hAnsi="Times New Roman" w:eastAsia="仿宋" w:cs="Times New Roman"/>
                <w:color w:val="000000"/>
                <w:kern w:val="0"/>
                <w:sz w:val="22"/>
                <w:szCs w:val="24"/>
              </w:rPr>
              <w:t>209.58</w:t>
            </w:r>
            <w:r>
              <w:rPr>
                <w:rFonts w:hint="default" w:ascii="Times New Roman" w:hAnsi="Times New Roman" w:eastAsia="仿宋" w:cs="Times New Roman"/>
                <w:kern w:val="0"/>
                <w:sz w:val="22"/>
                <w:szCs w:val="24"/>
              </w:rPr>
              <w:t>±785.63</w:t>
            </w:r>
          </w:p>
        </w:tc>
        <w:tc>
          <w:tcPr>
            <w:tcW w:w="49" w:type="pct"/>
            <w:tcBorders>
              <w:top w:val="single" w:color="auto" w:sz="6" w:space="0"/>
              <w:left w:val="nil"/>
              <w:bottom w:val="single" w:color="auto" w:sz="4" w:space="0"/>
              <w:right w:val="nil"/>
            </w:tcBorders>
            <w:vAlign w:val="center"/>
          </w:tcPr>
          <w:p w14:paraId="6C522A7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58" w:type="pct"/>
            <w:tcBorders>
              <w:top w:val="single" w:color="auto" w:sz="6" w:space="0"/>
              <w:left w:val="nil"/>
              <w:bottom w:val="single" w:color="auto" w:sz="4" w:space="0"/>
              <w:right w:val="nil"/>
            </w:tcBorders>
            <w:vAlign w:val="center"/>
          </w:tcPr>
          <w:p w14:paraId="27347C5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1</w:t>
            </w:r>
            <w:r>
              <w:rPr>
                <w:rFonts w:hint="default" w:ascii="Times New Roman" w:hAnsi="Times New Roman" w:eastAsia="仿宋" w:cs="Times New Roman"/>
                <w:color w:val="000000"/>
                <w:kern w:val="0"/>
                <w:sz w:val="22"/>
                <w:szCs w:val="24"/>
              </w:rPr>
              <w:t>700.21</w:t>
            </w:r>
          </w:p>
        </w:tc>
        <w:tc>
          <w:tcPr>
            <w:tcW w:w="285" w:type="pct"/>
            <w:tcBorders>
              <w:top w:val="single" w:color="auto" w:sz="6" w:space="0"/>
              <w:left w:val="nil"/>
              <w:bottom w:val="single" w:color="auto" w:sz="4" w:space="0"/>
              <w:right w:val="nil"/>
            </w:tcBorders>
            <w:vAlign w:val="center"/>
          </w:tcPr>
          <w:p w14:paraId="2393C0F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5</w:t>
            </w:r>
            <w:r>
              <w:rPr>
                <w:rFonts w:hint="default" w:ascii="Times New Roman" w:hAnsi="Times New Roman" w:eastAsia="仿宋" w:cs="Times New Roman"/>
                <w:color w:val="000000"/>
                <w:kern w:val="0"/>
                <w:sz w:val="22"/>
                <w:szCs w:val="24"/>
              </w:rPr>
              <w:t>.75</w:t>
            </w:r>
          </w:p>
        </w:tc>
        <w:tc>
          <w:tcPr>
            <w:tcW w:w="51" w:type="pct"/>
            <w:tcBorders>
              <w:top w:val="single" w:color="auto" w:sz="6" w:space="0"/>
              <w:left w:val="nil"/>
              <w:bottom w:val="single" w:color="auto" w:sz="4" w:space="0"/>
              <w:right w:val="nil"/>
            </w:tcBorders>
            <w:vAlign w:val="center"/>
          </w:tcPr>
          <w:p w14:paraId="765DD07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p>
        </w:tc>
        <w:tc>
          <w:tcPr>
            <w:tcW w:w="320" w:type="pct"/>
            <w:tcBorders>
              <w:top w:val="single" w:color="auto" w:sz="6" w:space="0"/>
              <w:left w:val="nil"/>
              <w:bottom w:val="single" w:color="auto" w:sz="4" w:space="0"/>
              <w:right w:val="nil"/>
            </w:tcBorders>
            <w:vAlign w:val="center"/>
          </w:tcPr>
          <w:p w14:paraId="08143DA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8</w:t>
            </w:r>
            <w:r>
              <w:rPr>
                <w:rFonts w:hint="default" w:ascii="Times New Roman" w:hAnsi="Times New Roman" w:eastAsia="仿宋" w:cs="Times New Roman"/>
                <w:color w:val="000000"/>
                <w:kern w:val="0"/>
                <w:sz w:val="22"/>
                <w:szCs w:val="24"/>
              </w:rPr>
              <w:t>48.67</w:t>
            </w:r>
          </w:p>
        </w:tc>
        <w:tc>
          <w:tcPr>
            <w:tcW w:w="283" w:type="pct"/>
            <w:tcBorders>
              <w:top w:val="single" w:color="auto" w:sz="6" w:space="0"/>
              <w:left w:val="nil"/>
              <w:bottom w:val="single" w:color="auto" w:sz="4" w:space="0"/>
              <w:right w:val="nil"/>
            </w:tcBorders>
            <w:vAlign w:val="center"/>
          </w:tcPr>
          <w:p w14:paraId="0B8EEFD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kern w:val="0"/>
                <w:sz w:val="22"/>
                <w:szCs w:val="24"/>
              </w:rPr>
            </w:pPr>
            <w:r>
              <w:rPr>
                <w:rFonts w:hint="eastAsia" w:ascii="Times New Roman" w:hAnsi="Times New Roman" w:eastAsia="仿宋" w:cs="Times New Roman"/>
                <w:color w:val="000000"/>
                <w:kern w:val="0"/>
                <w:sz w:val="22"/>
                <w:szCs w:val="24"/>
              </w:rPr>
              <w:t>1</w:t>
            </w:r>
            <w:r>
              <w:rPr>
                <w:rFonts w:hint="default" w:ascii="Times New Roman" w:hAnsi="Times New Roman" w:eastAsia="仿宋" w:cs="Times New Roman"/>
                <w:color w:val="000000"/>
                <w:kern w:val="0"/>
                <w:sz w:val="22"/>
                <w:szCs w:val="24"/>
              </w:rPr>
              <w:t>.70</w:t>
            </w:r>
          </w:p>
        </w:tc>
      </w:tr>
    </w:tbl>
    <w:p w14:paraId="282B6F5D">
      <w:pPr>
        <w:widowControl/>
        <w:spacing w:line="240" w:lineRule="auto"/>
        <w:jc w:val="left"/>
        <w:rPr>
          <w:rFonts w:ascii="Times New Roman" w:hAnsi="Times New Roman" w:eastAsia="仿宋" w:cs="Times New Roman"/>
          <w:b/>
          <w:sz w:val="24"/>
          <w:szCs w:val="24"/>
        </w:rPr>
      </w:pPr>
    </w:p>
    <w:p w14:paraId="256D14CC">
      <w:pPr>
        <w:pStyle w:val="3"/>
        <w:spacing w:line="240" w:lineRule="auto"/>
        <w:rPr>
          <w:rFonts w:eastAsia="仿宋" w:cs="Times New Roman"/>
          <w:szCs w:val="24"/>
        </w:rPr>
        <w:sectPr>
          <w:pgSz w:w="16838" w:h="11906" w:orient="landscape"/>
          <w:pgMar w:top="1800" w:right="1440" w:bottom="1800" w:left="1440" w:header="851" w:footer="992" w:gutter="0"/>
          <w:cols w:space="425" w:num="1"/>
          <w:docGrid w:type="lines" w:linePitch="312" w:charSpace="0"/>
        </w:sectPr>
      </w:pPr>
      <w:bookmarkStart w:id="224" w:name="_Toc172211046"/>
    </w:p>
    <w:bookmarkEnd w:id="224"/>
    <w:p w14:paraId="729D09E0">
      <w:pPr>
        <w:spacing w:line="240" w:lineRule="auto"/>
        <w:ind w:firstLine="480" w:firstLineChars="200"/>
        <w:rPr>
          <w:rFonts w:ascii="Times New Roman" w:hAnsi="Times New Roman" w:eastAsia="仿宋" w:cs="Times New Roman"/>
          <w:b/>
          <w:bCs/>
          <w:sz w:val="24"/>
          <w:szCs w:val="24"/>
        </w:rPr>
      </w:pPr>
      <w:r>
        <w:rPr>
          <w:rFonts w:hint="eastAsia" w:ascii="Times New Roman" w:hAnsi="Times New Roman" w:eastAsia="仿宋" w:cs="Times New Roman"/>
          <w:sz w:val="24"/>
          <w:szCs w:val="24"/>
        </w:rPr>
        <w:t>冬季分析结果显示：不同采样时间、地点情景下，静电场采样方法结果的相对标准偏差（R</w:t>
      </w:r>
      <w:r>
        <w:rPr>
          <w:rFonts w:ascii="Times New Roman" w:hAnsi="Times New Roman" w:eastAsia="仿宋" w:cs="Times New Roman"/>
          <w:sz w:val="24"/>
          <w:szCs w:val="24"/>
        </w:rPr>
        <w:t>SD</w:t>
      </w:r>
      <w:r>
        <w:rPr>
          <w:rFonts w:hint="eastAsia" w:ascii="Times New Roman" w:hAnsi="Times New Roman" w:eastAsia="仿宋" w:cs="Times New Roman"/>
          <w:sz w:val="24"/>
          <w:szCs w:val="24"/>
        </w:rPr>
        <w:t>）八种采样情景下均低于Andersen。八种情景（时间-位置）下静电场采集技术的微生物检测结果平均R</w:t>
      </w:r>
      <w:r>
        <w:rPr>
          <w:rFonts w:ascii="Times New Roman" w:hAnsi="Times New Roman" w:eastAsia="仿宋" w:cs="Times New Roman"/>
          <w:sz w:val="24"/>
          <w:szCs w:val="24"/>
        </w:rPr>
        <w:t>SD</w:t>
      </w:r>
      <w:r>
        <w:rPr>
          <w:rFonts w:hint="eastAsia" w:ascii="Times New Roman" w:hAnsi="Times New Roman" w:eastAsia="仿宋" w:cs="Times New Roman"/>
          <w:sz w:val="24"/>
          <w:szCs w:val="24"/>
        </w:rPr>
        <w:t>为</w:t>
      </w:r>
      <w:r>
        <w:rPr>
          <w:rFonts w:ascii="Times New Roman" w:hAnsi="Times New Roman" w:eastAsia="仿宋" w:cs="Times New Roman"/>
          <w:sz w:val="24"/>
          <w:szCs w:val="24"/>
        </w:rPr>
        <w:t>51.39%</w:t>
      </w:r>
      <w:r>
        <w:rPr>
          <w:rFonts w:hint="eastAsia" w:ascii="Times New Roman" w:hAnsi="Times New Roman" w:eastAsia="仿宋" w:cs="Times New Roman"/>
          <w:sz w:val="24"/>
          <w:szCs w:val="24"/>
        </w:rPr>
        <w:t>，稍低于Andersen平均R</w:t>
      </w:r>
      <w:r>
        <w:rPr>
          <w:rFonts w:ascii="Times New Roman" w:hAnsi="Times New Roman" w:eastAsia="仿宋" w:cs="Times New Roman"/>
          <w:sz w:val="24"/>
          <w:szCs w:val="24"/>
        </w:rPr>
        <w:t>SD 54.76%</w:t>
      </w:r>
      <w:r>
        <w:rPr>
          <w:rFonts w:hint="eastAsia" w:ascii="Times New Roman" w:hAnsi="Times New Roman" w:eastAsia="仿宋" w:cs="Times New Roman"/>
          <w:sz w:val="24"/>
          <w:szCs w:val="24"/>
        </w:rPr>
        <w:t>。同等时空条件下的8个批次的同步采样检测结果R</w:t>
      </w:r>
      <w:r>
        <w:rPr>
          <w:rFonts w:ascii="Times New Roman" w:hAnsi="Times New Roman" w:eastAsia="仿宋" w:cs="Times New Roman"/>
          <w:sz w:val="24"/>
          <w:szCs w:val="24"/>
        </w:rPr>
        <w:t>SD</w:t>
      </w:r>
      <w:r>
        <w:rPr>
          <w:rFonts w:hint="eastAsia" w:ascii="Times New Roman" w:hAnsi="Times New Roman" w:eastAsia="仿宋" w:cs="Times New Roman"/>
          <w:sz w:val="24"/>
          <w:szCs w:val="24"/>
        </w:rPr>
        <w:t>显示，静电场采样方法结果的稳定性</w:t>
      </w:r>
      <w:r>
        <w:rPr>
          <w:rFonts w:ascii="Times New Roman" w:hAnsi="Times New Roman" w:eastAsia="仿宋" w:cs="Times New Roman"/>
          <w:sz w:val="24"/>
          <w:szCs w:val="24"/>
        </w:rPr>
        <w:t>8</w:t>
      </w:r>
      <w:r>
        <w:rPr>
          <w:rFonts w:hint="eastAsia" w:ascii="Times New Roman" w:hAnsi="Times New Roman" w:eastAsia="仿宋" w:cs="Times New Roman"/>
          <w:sz w:val="24"/>
          <w:szCs w:val="24"/>
        </w:rPr>
        <w:t>次均高于Andersen采样方法结果。结果提示，</w:t>
      </w:r>
      <w:r>
        <w:rPr>
          <w:rFonts w:hint="eastAsia" w:ascii="Times New Roman" w:hAnsi="Times New Roman" w:eastAsia="仿宋" w:cs="Times New Roman"/>
          <w:b/>
          <w:bCs/>
          <w:sz w:val="24"/>
          <w:szCs w:val="24"/>
        </w:rPr>
        <w:t>静电场采样方法的稳定性高于Andersen采样方法。</w:t>
      </w:r>
      <w:bookmarkStart w:id="225" w:name="_Hlk188011054"/>
      <w:bookmarkStart w:id="226" w:name="_Toc172211048"/>
    </w:p>
    <w:p w14:paraId="252AAA68">
      <w:pPr>
        <w:spacing w:line="240" w:lineRule="auto"/>
        <w:ind w:firstLine="480" w:firstLineChars="200"/>
        <w:jc w:val="center"/>
        <w:rPr>
          <w:rFonts w:ascii="Times New Roman" w:hAnsi="Times New Roman" w:eastAsia="仿宋" w:cs="Times New Roman"/>
          <w:sz w:val="24"/>
          <w:szCs w:val="24"/>
        </w:rPr>
      </w:pPr>
      <w:r>
        <w:rPr>
          <w:rFonts w:hint="eastAsia" w:ascii="Times New Roman" w:hAnsi="Times New Roman" w:eastAsia="仿宋" w:cs="Times New Roman"/>
          <w:sz w:val="24"/>
          <w:szCs w:val="24"/>
        </w:rPr>
        <w:t>表</w:t>
      </w:r>
      <w:r>
        <w:rPr>
          <w:rFonts w:ascii="Times New Roman" w:hAnsi="Times New Roman" w:eastAsia="仿宋" w:cs="Times New Roman"/>
          <w:sz w:val="24"/>
          <w:szCs w:val="24"/>
        </w:rPr>
        <w:t xml:space="preserve">5  </w:t>
      </w:r>
      <w:r>
        <w:rPr>
          <w:rFonts w:hint="eastAsia" w:ascii="Times New Roman" w:hAnsi="Times New Roman" w:eastAsia="仿宋" w:cs="Times New Roman"/>
          <w:sz w:val="24"/>
          <w:szCs w:val="24"/>
        </w:rPr>
        <w:t>两季静电场技术稳定性分析结果（以</w:t>
      </w:r>
      <w:r>
        <w:rPr>
          <w:rFonts w:ascii="Times New Roman" w:hAnsi="Times New Roman" w:eastAsia="仿宋" w:cs="Times New Roman"/>
          <w:sz w:val="24"/>
          <w:szCs w:val="24"/>
        </w:rPr>
        <w:t>Andersen为参比方法）</w:t>
      </w:r>
    </w:p>
    <w:tbl>
      <w:tblPr>
        <w:tblStyle w:val="26"/>
        <w:tblW w:w="5001" w:type="pct"/>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564"/>
        <w:gridCol w:w="704"/>
        <w:gridCol w:w="708"/>
        <w:gridCol w:w="713"/>
        <w:gridCol w:w="923"/>
        <w:gridCol w:w="924"/>
        <w:gridCol w:w="142"/>
        <w:gridCol w:w="853"/>
        <w:gridCol w:w="994"/>
        <w:gridCol w:w="185"/>
        <w:gridCol w:w="754"/>
        <w:gridCol w:w="900"/>
      </w:tblGrid>
      <w:tr w14:paraId="749DD2A2">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37" w:type="pct"/>
            <w:vMerge w:val="restart"/>
            <w:tcBorders>
              <w:top w:val="single" w:color="auto" w:sz="8" w:space="0"/>
              <w:left w:val="nil"/>
              <w:bottom w:val="single" w:color="auto" w:sz="4" w:space="0"/>
              <w:right w:val="nil"/>
            </w:tcBorders>
            <w:vAlign w:val="center"/>
          </w:tcPr>
          <w:p w14:paraId="70D81D2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季节</w:t>
            </w:r>
          </w:p>
        </w:tc>
        <w:tc>
          <w:tcPr>
            <w:tcW w:w="420" w:type="pct"/>
            <w:vMerge w:val="restart"/>
            <w:tcBorders>
              <w:top w:val="single" w:color="auto" w:sz="8" w:space="0"/>
              <w:left w:val="nil"/>
              <w:bottom w:val="single" w:color="auto" w:sz="4" w:space="0"/>
              <w:right w:val="nil"/>
            </w:tcBorders>
            <w:vAlign w:val="center"/>
          </w:tcPr>
          <w:p w14:paraId="2DE3B5B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采样时间</w:t>
            </w:r>
          </w:p>
        </w:tc>
        <w:tc>
          <w:tcPr>
            <w:tcW w:w="423" w:type="pct"/>
            <w:vMerge w:val="restart"/>
            <w:tcBorders>
              <w:top w:val="single" w:color="auto" w:sz="8" w:space="0"/>
              <w:left w:val="nil"/>
              <w:bottom w:val="single" w:color="auto" w:sz="4" w:space="0"/>
              <w:right w:val="nil"/>
            </w:tcBorders>
            <w:vAlign w:val="center"/>
          </w:tcPr>
          <w:p w14:paraId="13BFF9A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采样位置</w:t>
            </w:r>
          </w:p>
        </w:tc>
        <w:tc>
          <w:tcPr>
            <w:tcW w:w="426" w:type="pct"/>
            <w:vMerge w:val="restart"/>
            <w:tcBorders>
              <w:top w:val="single" w:color="auto" w:sz="8" w:space="0"/>
              <w:left w:val="nil"/>
              <w:bottom w:val="single" w:color="auto" w:sz="4" w:space="0"/>
              <w:right w:val="nil"/>
            </w:tcBorders>
            <w:vAlign w:val="center"/>
          </w:tcPr>
          <w:p w14:paraId="46D8C43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采样轮次</w:t>
            </w:r>
          </w:p>
        </w:tc>
        <w:tc>
          <w:tcPr>
            <w:tcW w:w="1104" w:type="pct"/>
            <w:gridSpan w:val="2"/>
            <w:tcBorders>
              <w:top w:val="single" w:color="auto" w:sz="8" w:space="0"/>
              <w:left w:val="nil"/>
              <w:bottom w:val="single" w:color="auto" w:sz="6" w:space="0"/>
              <w:right w:val="nil"/>
            </w:tcBorders>
            <w:vAlign w:val="center"/>
          </w:tcPr>
          <w:p w14:paraId="04EC88A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静电场</w:t>
            </w:r>
          </w:p>
        </w:tc>
        <w:tc>
          <w:tcPr>
            <w:tcW w:w="84" w:type="pct"/>
            <w:tcBorders>
              <w:top w:val="single" w:color="auto" w:sz="8" w:space="0"/>
              <w:left w:val="nil"/>
              <w:bottom w:val="nil"/>
              <w:right w:val="nil"/>
            </w:tcBorders>
            <w:vAlign w:val="center"/>
          </w:tcPr>
          <w:p w14:paraId="01439FF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1104" w:type="pct"/>
            <w:gridSpan w:val="2"/>
            <w:tcBorders>
              <w:top w:val="single" w:color="auto" w:sz="8" w:space="0"/>
              <w:left w:val="nil"/>
              <w:bottom w:val="single" w:color="auto" w:sz="6" w:space="0"/>
              <w:right w:val="nil"/>
            </w:tcBorders>
            <w:vAlign w:val="center"/>
          </w:tcPr>
          <w:p w14:paraId="1A5BFDF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Andersen</w:t>
            </w:r>
          </w:p>
        </w:tc>
        <w:tc>
          <w:tcPr>
            <w:tcW w:w="110" w:type="pct"/>
            <w:tcBorders>
              <w:top w:val="single" w:color="auto" w:sz="8" w:space="0"/>
              <w:left w:val="nil"/>
              <w:bottom w:val="nil"/>
              <w:right w:val="nil"/>
            </w:tcBorders>
            <w:vAlign w:val="center"/>
          </w:tcPr>
          <w:p w14:paraId="562B2B5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988" w:type="pct"/>
            <w:gridSpan w:val="2"/>
            <w:tcBorders>
              <w:top w:val="single" w:color="auto" w:sz="8" w:space="0"/>
              <w:left w:val="nil"/>
              <w:bottom w:val="single" w:color="auto" w:sz="6" w:space="0"/>
              <w:right w:val="nil"/>
            </w:tcBorders>
            <w:vAlign w:val="center"/>
          </w:tcPr>
          <w:p w14:paraId="512ADE4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与Andersen比</w:t>
            </w:r>
          </w:p>
        </w:tc>
      </w:tr>
      <w:tr w14:paraId="7521B676">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37" w:type="pct"/>
            <w:vMerge w:val="continue"/>
            <w:tcBorders>
              <w:top w:val="nil"/>
              <w:left w:val="nil"/>
              <w:bottom w:val="single" w:color="auto" w:sz="4" w:space="0"/>
              <w:right w:val="nil"/>
            </w:tcBorders>
            <w:vAlign w:val="center"/>
          </w:tcPr>
          <w:p w14:paraId="65A67B5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0" w:type="pct"/>
            <w:vMerge w:val="continue"/>
            <w:tcBorders>
              <w:top w:val="nil"/>
              <w:left w:val="nil"/>
              <w:bottom w:val="single" w:color="auto" w:sz="4" w:space="0"/>
              <w:right w:val="nil"/>
            </w:tcBorders>
            <w:vAlign w:val="center"/>
          </w:tcPr>
          <w:p w14:paraId="3ED5FD5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3" w:type="pct"/>
            <w:vMerge w:val="continue"/>
            <w:tcBorders>
              <w:top w:val="nil"/>
              <w:left w:val="nil"/>
              <w:bottom w:val="single" w:color="auto" w:sz="4" w:space="0"/>
              <w:right w:val="nil"/>
            </w:tcBorders>
            <w:vAlign w:val="center"/>
          </w:tcPr>
          <w:p w14:paraId="3264B27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6" w:type="pct"/>
            <w:vMerge w:val="continue"/>
            <w:tcBorders>
              <w:top w:val="nil"/>
              <w:left w:val="nil"/>
              <w:bottom w:val="single" w:color="auto" w:sz="4" w:space="0"/>
              <w:right w:val="nil"/>
            </w:tcBorders>
            <w:vAlign w:val="center"/>
          </w:tcPr>
          <w:p w14:paraId="5C1E8FF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551" w:type="pct"/>
            <w:tcBorders>
              <w:top w:val="single" w:color="auto" w:sz="6" w:space="0"/>
              <w:left w:val="nil"/>
              <w:bottom w:val="single" w:color="auto" w:sz="4" w:space="0"/>
              <w:right w:val="nil"/>
            </w:tcBorders>
            <w:vAlign w:val="center"/>
          </w:tcPr>
          <w:p w14:paraId="1B85B45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样本量</w:t>
            </w:r>
          </w:p>
        </w:tc>
        <w:tc>
          <w:tcPr>
            <w:tcW w:w="552" w:type="pct"/>
            <w:tcBorders>
              <w:top w:val="single" w:color="auto" w:sz="6" w:space="0"/>
              <w:left w:val="nil"/>
              <w:bottom w:val="single" w:color="auto" w:sz="4" w:space="0"/>
              <w:right w:val="nil"/>
            </w:tcBorders>
            <w:vAlign w:val="center"/>
          </w:tcPr>
          <w:p w14:paraId="7363937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RSD（%）</w:t>
            </w:r>
          </w:p>
        </w:tc>
        <w:tc>
          <w:tcPr>
            <w:tcW w:w="84" w:type="pct"/>
            <w:tcBorders>
              <w:top w:val="nil"/>
              <w:left w:val="nil"/>
              <w:bottom w:val="single" w:color="auto" w:sz="4" w:space="0"/>
              <w:right w:val="nil"/>
            </w:tcBorders>
            <w:vAlign w:val="center"/>
          </w:tcPr>
          <w:p w14:paraId="4E1D28B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509" w:type="pct"/>
            <w:tcBorders>
              <w:top w:val="single" w:color="auto" w:sz="6" w:space="0"/>
              <w:left w:val="nil"/>
              <w:bottom w:val="single" w:color="auto" w:sz="4" w:space="0"/>
              <w:right w:val="nil"/>
            </w:tcBorders>
            <w:vAlign w:val="center"/>
          </w:tcPr>
          <w:p w14:paraId="4FB0420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样本量</w:t>
            </w:r>
          </w:p>
        </w:tc>
        <w:tc>
          <w:tcPr>
            <w:tcW w:w="594" w:type="pct"/>
            <w:tcBorders>
              <w:top w:val="single" w:color="auto" w:sz="6" w:space="0"/>
              <w:left w:val="nil"/>
              <w:bottom w:val="single" w:color="auto" w:sz="4" w:space="0"/>
              <w:right w:val="nil"/>
            </w:tcBorders>
            <w:vAlign w:val="center"/>
          </w:tcPr>
          <w:p w14:paraId="37E129C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RSD（%）</w:t>
            </w:r>
          </w:p>
        </w:tc>
        <w:tc>
          <w:tcPr>
            <w:tcW w:w="110" w:type="pct"/>
            <w:tcBorders>
              <w:top w:val="nil"/>
              <w:left w:val="nil"/>
              <w:bottom w:val="single" w:color="auto" w:sz="4" w:space="0"/>
              <w:right w:val="nil"/>
            </w:tcBorders>
            <w:vAlign w:val="center"/>
          </w:tcPr>
          <w:p w14:paraId="540CBC7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50" w:type="pct"/>
            <w:tcBorders>
              <w:top w:val="single" w:color="auto" w:sz="6" w:space="0"/>
              <w:left w:val="nil"/>
              <w:bottom w:val="single" w:color="auto" w:sz="4" w:space="0"/>
              <w:right w:val="nil"/>
            </w:tcBorders>
            <w:vAlign w:val="center"/>
          </w:tcPr>
          <w:p w14:paraId="07A60C4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差值</w:t>
            </w:r>
          </w:p>
        </w:tc>
        <w:tc>
          <w:tcPr>
            <w:tcW w:w="538" w:type="pct"/>
            <w:tcBorders>
              <w:top w:val="single" w:color="auto" w:sz="6" w:space="0"/>
              <w:left w:val="nil"/>
              <w:bottom w:val="single" w:color="auto" w:sz="4" w:space="0"/>
              <w:right w:val="nil"/>
            </w:tcBorders>
            <w:vAlign w:val="center"/>
          </w:tcPr>
          <w:p w14:paraId="0831AF6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倍数</w:t>
            </w:r>
          </w:p>
        </w:tc>
      </w:tr>
      <w:tr w14:paraId="5ED8E15D">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37" w:type="pct"/>
            <w:vMerge w:val="restart"/>
            <w:tcBorders>
              <w:top w:val="single" w:color="auto" w:sz="4" w:space="0"/>
              <w:left w:val="nil"/>
              <w:right w:val="nil"/>
            </w:tcBorders>
            <w:vAlign w:val="center"/>
          </w:tcPr>
          <w:p w14:paraId="2961BCB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夏季</w:t>
            </w:r>
          </w:p>
        </w:tc>
        <w:tc>
          <w:tcPr>
            <w:tcW w:w="420" w:type="pct"/>
            <w:vMerge w:val="restart"/>
            <w:tcBorders>
              <w:top w:val="single" w:color="auto" w:sz="4" w:space="0"/>
              <w:left w:val="nil"/>
              <w:bottom w:val="single" w:color="auto" w:sz="4" w:space="0"/>
              <w:right w:val="nil"/>
            </w:tcBorders>
            <w:vAlign w:val="center"/>
          </w:tcPr>
          <w:p w14:paraId="2592597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上午</w:t>
            </w:r>
          </w:p>
        </w:tc>
        <w:tc>
          <w:tcPr>
            <w:tcW w:w="423" w:type="pct"/>
            <w:vMerge w:val="restart"/>
            <w:tcBorders>
              <w:top w:val="single" w:color="auto" w:sz="4" w:space="0"/>
              <w:left w:val="nil"/>
              <w:right w:val="nil"/>
            </w:tcBorders>
            <w:vAlign w:val="center"/>
          </w:tcPr>
          <w:p w14:paraId="7A7F8DB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站厅</w:t>
            </w:r>
          </w:p>
        </w:tc>
        <w:tc>
          <w:tcPr>
            <w:tcW w:w="426" w:type="pct"/>
            <w:tcBorders>
              <w:top w:val="single" w:color="auto" w:sz="4" w:space="0"/>
              <w:left w:val="nil"/>
              <w:bottom w:val="nil"/>
              <w:right w:val="nil"/>
            </w:tcBorders>
            <w:vAlign w:val="center"/>
          </w:tcPr>
          <w:p w14:paraId="0A6C6AA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w:t>
            </w:r>
          </w:p>
        </w:tc>
        <w:tc>
          <w:tcPr>
            <w:tcW w:w="551" w:type="pct"/>
            <w:tcBorders>
              <w:top w:val="single" w:color="auto" w:sz="4" w:space="0"/>
              <w:left w:val="nil"/>
              <w:bottom w:val="nil"/>
              <w:right w:val="nil"/>
            </w:tcBorders>
            <w:vAlign w:val="center"/>
          </w:tcPr>
          <w:p w14:paraId="7C43E23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52" w:type="pct"/>
            <w:tcBorders>
              <w:top w:val="single" w:color="auto" w:sz="4" w:space="0"/>
              <w:left w:val="nil"/>
              <w:bottom w:val="nil"/>
              <w:right w:val="nil"/>
            </w:tcBorders>
            <w:vAlign w:val="center"/>
          </w:tcPr>
          <w:p w14:paraId="534AC44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2</w:t>
            </w:r>
            <w:r>
              <w:rPr>
                <w:rFonts w:hint="default" w:ascii="Times New Roman" w:hAnsi="Times New Roman" w:eastAsia="仿宋" w:cs="Times New Roman"/>
                <w:kern w:val="0"/>
                <w:sz w:val="22"/>
                <w:szCs w:val="20"/>
              </w:rPr>
              <w:t>9.82</w:t>
            </w:r>
          </w:p>
        </w:tc>
        <w:tc>
          <w:tcPr>
            <w:tcW w:w="84" w:type="pct"/>
            <w:tcBorders>
              <w:top w:val="single" w:color="auto" w:sz="4" w:space="0"/>
              <w:left w:val="nil"/>
              <w:bottom w:val="nil"/>
              <w:right w:val="nil"/>
            </w:tcBorders>
            <w:vAlign w:val="center"/>
          </w:tcPr>
          <w:p w14:paraId="7659BA4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509" w:type="pct"/>
            <w:tcBorders>
              <w:top w:val="single" w:color="auto" w:sz="4" w:space="0"/>
              <w:left w:val="nil"/>
              <w:bottom w:val="nil"/>
              <w:right w:val="nil"/>
            </w:tcBorders>
            <w:vAlign w:val="center"/>
          </w:tcPr>
          <w:p w14:paraId="6B4C1CB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94" w:type="pct"/>
            <w:tcBorders>
              <w:top w:val="single" w:color="auto" w:sz="4" w:space="0"/>
              <w:left w:val="nil"/>
              <w:bottom w:val="nil"/>
              <w:right w:val="nil"/>
            </w:tcBorders>
            <w:vAlign w:val="center"/>
          </w:tcPr>
          <w:p w14:paraId="61F7950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3</w:t>
            </w:r>
            <w:r>
              <w:rPr>
                <w:rFonts w:hint="default" w:ascii="Times New Roman" w:hAnsi="Times New Roman" w:eastAsia="仿宋" w:cs="Times New Roman"/>
                <w:kern w:val="0"/>
                <w:sz w:val="22"/>
                <w:szCs w:val="20"/>
              </w:rPr>
              <w:t>1.45</w:t>
            </w:r>
          </w:p>
        </w:tc>
        <w:tc>
          <w:tcPr>
            <w:tcW w:w="110" w:type="pct"/>
            <w:tcBorders>
              <w:top w:val="single" w:color="auto" w:sz="4" w:space="0"/>
              <w:left w:val="nil"/>
              <w:bottom w:val="nil"/>
              <w:right w:val="nil"/>
            </w:tcBorders>
            <w:vAlign w:val="center"/>
          </w:tcPr>
          <w:p w14:paraId="721D8FC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50" w:type="pct"/>
            <w:tcBorders>
              <w:top w:val="single" w:color="auto" w:sz="4" w:space="0"/>
              <w:left w:val="nil"/>
              <w:bottom w:val="nil"/>
              <w:right w:val="nil"/>
            </w:tcBorders>
            <w:shd w:val="clear" w:color="auto" w:fill="auto"/>
            <w:vAlign w:val="center"/>
          </w:tcPr>
          <w:p w14:paraId="7320A0E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宋体" w:cs="Times New Roman"/>
                <w:color w:val="000000"/>
                <w:kern w:val="0"/>
                <w:sz w:val="22"/>
                <w:szCs w:val="20"/>
              </w:rPr>
            </w:pPr>
            <w:r>
              <w:rPr>
                <w:rFonts w:hint="eastAsia" w:ascii="Times New Roman" w:hAnsi="Times New Roman" w:eastAsia="宋体" w:cs="Times New Roman"/>
                <w:color w:val="000000"/>
                <w:kern w:val="0"/>
                <w:sz w:val="22"/>
                <w:szCs w:val="20"/>
              </w:rPr>
              <w:t>-</w:t>
            </w:r>
            <w:r>
              <w:rPr>
                <w:rFonts w:hint="default" w:ascii="Times New Roman" w:hAnsi="Times New Roman" w:eastAsia="宋体" w:cs="Times New Roman"/>
                <w:color w:val="000000"/>
                <w:kern w:val="0"/>
                <w:sz w:val="22"/>
                <w:szCs w:val="20"/>
              </w:rPr>
              <w:t>1.63</w:t>
            </w:r>
          </w:p>
        </w:tc>
        <w:tc>
          <w:tcPr>
            <w:tcW w:w="538" w:type="pct"/>
            <w:tcBorders>
              <w:top w:val="single" w:color="auto" w:sz="4" w:space="0"/>
              <w:left w:val="nil"/>
              <w:bottom w:val="nil"/>
              <w:right w:val="nil"/>
            </w:tcBorders>
            <w:shd w:val="clear" w:color="auto" w:fill="auto"/>
            <w:vAlign w:val="center"/>
          </w:tcPr>
          <w:p w14:paraId="45C983F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宋体" w:cs="Times New Roman"/>
                <w:color w:val="000000"/>
                <w:kern w:val="0"/>
                <w:sz w:val="22"/>
                <w:szCs w:val="20"/>
              </w:rPr>
            </w:pPr>
            <w:r>
              <w:rPr>
                <w:rFonts w:hint="eastAsia" w:ascii="Times New Roman" w:hAnsi="Times New Roman" w:eastAsia="宋体" w:cs="Times New Roman"/>
                <w:color w:val="000000"/>
                <w:kern w:val="0"/>
                <w:sz w:val="22"/>
                <w:szCs w:val="20"/>
              </w:rPr>
              <w:t>0</w:t>
            </w:r>
            <w:r>
              <w:rPr>
                <w:rFonts w:hint="default" w:ascii="Times New Roman" w:hAnsi="Times New Roman" w:eastAsia="宋体" w:cs="Times New Roman"/>
                <w:color w:val="000000"/>
                <w:kern w:val="0"/>
                <w:sz w:val="22"/>
                <w:szCs w:val="20"/>
              </w:rPr>
              <w:t>.95</w:t>
            </w:r>
          </w:p>
        </w:tc>
      </w:tr>
      <w:tr w14:paraId="6B88010D">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37" w:type="pct"/>
            <w:vMerge w:val="continue"/>
            <w:tcBorders>
              <w:left w:val="nil"/>
              <w:right w:val="nil"/>
            </w:tcBorders>
            <w:vAlign w:val="center"/>
          </w:tcPr>
          <w:p w14:paraId="414A9AE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0" w:type="pct"/>
            <w:vMerge w:val="continue"/>
            <w:tcBorders>
              <w:top w:val="single" w:color="auto" w:sz="4" w:space="0"/>
              <w:left w:val="nil"/>
              <w:bottom w:val="single" w:color="auto" w:sz="4" w:space="0"/>
              <w:right w:val="nil"/>
            </w:tcBorders>
            <w:vAlign w:val="center"/>
          </w:tcPr>
          <w:p w14:paraId="662676B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3" w:type="pct"/>
            <w:vMerge w:val="continue"/>
            <w:tcBorders>
              <w:left w:val="nil"/>
              <w:bottom w:val="nil"/>
              <w:right w:val="nil"/>
            </w:tcBorders>
            <w:vAlign w:val="center"/>
          </w:tcPr>
          <w:p w14:paraId="6CA678D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6" w:type="pct"/>
            <w:tcBorders>
              <w:top w:val="nil"/>
              <w:left w:val="nil"/>
              <w:bottom w:val="nil"/>
              <w:right w:val="nil"/>
            </w:tcBorders>
            <w:vAlign w:val="center"/>
          </w:tcPr>
          <w:p w14:paraId="4977C3A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2</w:t>
            </w:r>
          </w:p>
        </w:tc>
        <w:tc>
          <w:tcPr>
            <w:tcW w:w="551" w:type="pct"/>
            <w:tcBorders>
              <w:top w:val="nil"/>
              <w:left w:val="nil"/>
              <w:bottom w:val="nil"/>
              <w:right w:val="nil"/>
            </w:tcBorders>
            <w:vAlign w:val="center"/>
          </w:tcPr>
          <w:p w14:paraId="129A946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52" w:type="pct"/>
            <w:tcBorders>
              <w:top w:val="nil"/>
              <w:left w:val="nil"/>
              <w:bottom w:val="nil"/>
              <w:right w:val="nil"/>
            </w:tcBorders>
            <w:vAlign w:val="center"/>
          </w:tcPr>
          <w:p w14:paraId="4F3BCAA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3</w:t>
            </w:r>
            <w:r>
              <w:rPr>
                <w:rFonts w:hint="default" w:ascii="Times New Roman" w:hAnsi="Times New Roman" w:eastAsia="仿宋" w:cs="Times New Roman"/>
                <w:kern w:val="0"/>
                <w:sz w:val="22"/>
                <w:szCs w:val="20"/>
              </w:rPr>
              <w:t>0.42</w:t>
            </w:r>
          </w:p>
        </w:tc>
        <w:tc>
          <w:tcPr>
            <w:tcW w:w="84" w:type="pct"/>
            <w:tcBorders>
              <w:top w:val="nil"/>
              <w:left w:val="nil"/>
              <w:bottom w:val="nil"/>
              <w:right w:val="nil"/>
            </w:tcBorders>
            <w:vAlign w:val="center"/>
          </w:tcPr>
          <w:p w14:paraId="43DA019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509" w:type="pct"/>
            <w:tcBorders>
              <w:top w:val="nil"/>
              <w:left w:val="nil"/>
              <w:bottom w:val="nil"/>
              <w:right w:val="nil"/>
            </w:tcBorders>
            <w:vAlign w:val="center"/>
          </w:tcPr>
          <w:p w14:paraId="1D7CF6E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94" w:type="pct"/>
            <w:tcBorders>
              <w:top w:val="nil"/>
              <w:left w:val="nil"/>
              <w:bottom w:val="nil"/>
              <w:right w:val="nil"/>
            </w:tcBorders>
            <w:vAlign w:val="center"/>
          </w:tcPr>
          <w:p w14:paraId="5E1889A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3</w:t>
            </w:r>
            <w:r>
              <w:rPr>
                <w:rFonts w:hint="default" w:ascii="Times New Roman" w:hAnsi="Times New Roman" w:eastAsia="仿宋" w:cs="Times New Roman"/>
                <w:kern w:val="0"/>
                <w:sz w:val="22"/>
                <w:szCs w:val="20"/>
              </w:rPr>
              <w:t>7.11</w:t>
            </w:r>
          </w:p>
        </w:tc>
        <w:tc>
          <w:tcPr>
            <w:tcW w:w="110" w:type="pct"/>
            <w:tcBorders>
              <w:top w:val="nil"/>
              <w:left w:val="nil"/>
              <w:bottom w:val="nil"/>
              <w:right w:val="nil"/>
            </w:tcBorders>
            <w:vAlign w:val="center"/>
          </w:tcPr>
          <w:p w14:paraId="6E64C88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50" w:type="pct"/>
            <w:tcBorders>
              <w:top w:val="nil"/>
              <w:left w:val="nil"/>
              <w:bottom w:val="nil"/>
              <w:right w:val="nil"/>
            </w:tcBorders>
            <w:shd w:val="clear" w:color="auto" w:fill="auto"/>
            <w:vAlign w:val="center"/>
          </w:tcPr>
          <w:p w14:paraId="2B6E5B4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宋体" w:cs="Times New Roman"/>
                <w:color w:val="000000"/>
                <w:kern w:val="0"/>
                <w:sz w:val="22"/>
                <w:szCs w:val="20"/>
              </w:rPr>
            </w:pPr>
            <w:r>
              <w:rPr>
                <w:rFonts w:hint="eastAsia" w:ascii="Times New Roman" w:hAnsi="Times New Roman" w:eastAsia="宋体" w:cs="Times New Roman"/>
                <w:color w:val="000000"/>
                <w:kern w:val="0"/>
                <w:sz w:val="22"/>
                <w:szCs w:val="20"/>
              </w:rPr>
              <w:t>-</w:t>
            </w:r>
            <w:r>
              <w:rPr>
                <w:rFonts w:hint="default" w:ascii="Times New Roman" w:hAnsi="Times New Roman" w:eastAsia="宋体" w:cs="Times New Roman"/>
                <w:color w:val="000000"/>
                <w:kern w:val="0"/>
                <w:sz w:val="22"/>
                <w:szCs w:val="20"/>
              </w:rPr>
              <w:t>6.69</w:t>
            </w:r>
          </w:p>
        </w:tc>
        <w:tc>
          <w:tcPr>
            <w:tcW w:w="538" w:type="pct"/>
            <w:tcBorders>
              <w:top w:val="nil"/>
              <w:left w:val="nil"/>
              <w:bottom w:val="nil"/>
              <w:right w:val="nil"/>
            </w:tcBorders>
            <w:shd w:val="clear" w:color="auto" w:fill="auto"/>
            <w:vAlign w:val="center"/>
          </w:tcPr>
          <w:p w14:paraId="43B0AA7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宋体" w:cs="Times New Roman"/>
                <w:color w:val="000000"/>
                <w:kern w:val="0"/>
                <w:sz w:val="22"/>
                <w:szCs w:val="20"/>
              </w:rPr>
            </w:pPr>
            <w:r>
              <w:rPr>
                <w:rFonts w:hint="eastAsia" w:ascii="Times New Roman" w:hAnsi="Times New Roman" w:eastAsia="宋体" w:cs="Times New Roman"/>
                <w:color w:val="000000"/>
                <w:kern w:val="0"/>
                <w:sz w:val="22"/>
                <w:szCs w:val="20"/>
              </w:rPr>
              <w:t>0</w:t>
            </w:r>
            <w:r>
              <w:rPr>
                <w:rFonts w:hint="default" w:ascii="Times New Roman" w:hAnsi="Times New Roman" w:eastAsia="宋体" w:cs="Times New Roman"/>
                <w:color w:val="000000"/>
                <w:kern w:val="0"/>
                <w:sz w:val="22"/>
                <w:szCs w:val="20"/>
              </w:rPr>
              <w:t>.82</w:t>
            </w:r>
          </w:p>
        </w:tc>
      </w:tr>
      <w:tr w14:paraId="2422A9D9">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37" w:type="pct"/>
            <w:vMerge w:val="continue"/>
            <w:tcBorders>
              <w:left w:val="nil"/>
              <w:right w:val="nil"/>
            </w:tcBorders>
            <w:vAlign w:val="center"/>
          </w:tcPr>
          <w:p w14:paraId="5B9D328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0" w:type="pct"/>
            <w:vMerge w:val="continue"/>
            <w:tcBorders>
              <w:top w:val="single" w:color="auto" w:sz="4" w:space="0"/>
              <w:left w:val="nil"/>
              <w:bottom w:val="single" w:color="auto" w:sz="4" w:space="0"/>
              <w:right w:val="nil"/>
            </w:tcBorders>
            <w:vAlign w:val="center"/>
          </w:tcPr>
          <w:p w14:paraId="38A93B8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3" w:type="pct"/>
            <w:vMerge w:val="restart"/>
            <w:tcBorders>
              <w:top w:val="nil"/>
              <w:left w:val="nil"/>
              <w:bottom w:val="single" w:color="auto" w:sz="4" w:space="0"/>
              <w:right w:val="nil"/>
            </w:tcBorders>
            <w:vAlign w:val="center"/>
          </w:tcPr>
          <w:p w14:paraId="4F5E01B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站台</w:t>
            </w:r>
          </w:p>
        </w:tc>
        <w:tc>
          <w:tcPr>
            <w:tcW w:w="426" w:type="pct"/>
            <w:tcBorders>
              <w:top w:val="nil"/>
              <w:left w:val="nil"/>
              <w:bottom w:val="nil"/>
              <w:right w:val="nil"/>
            </w:tcBorders>
            <w:vAlign w:val="center"/>
          </w:tcPr>
          <w:p w14:paraId="64738DA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w:t>
            </w:r>
          </w:p>
        </w:tc>
        <w:tc>
          <w:tcPr>
            <w:tcW w:w="551" w:type="pct"/>
            <w:tcBorders>
              <w:top w:val="nil"/>
              <w:left w:val="nil"/>
              <w:bottom w:val="nil"/>
              <w:right w:val="nil"/>
            </w:tcBorders>
            <w:vAlign w:val="center"/>
          </w:tcPr>
          <w:p w14:paraId="400D71B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52" w:type="pct"/>
            <w:tcBorders>
              <w:top w:val="nil"/>
              <w:left w:val="nil"/>
              <w:bottom w:val="nil"/>
              <w:right w:val="nil"/>
            </w:tcBorders>
            <w:vAlign w:val="center"/>
          </w:tcPr>
          <w:p w14:paraId="5ED1637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5</w:t>
            </w:r>
            <w:r>
              <w:rPr>
                <w:rFonts w:hint="default" w:ascii="Times New Roman" w:hAnsi="Times New Roman" w:eastAsia="仿宋" w:cs="Times New Roman"/>
                <w:kern w:val="0"/>
                <w:sz w:val="22"/>
                <w:szCs w:val="20"/>
              </w:rPr>
              <w:t>3.44</w:t>
            </w:r>
          </w:p>
        </w:tc>
        <w:tc>
          <w:tcPr>
            <w:tcW w:w="84" w:type="pct"/>
            <w:tcBorders>
              <w:top w:val="nil"/>
              <w:left w:val="nil"/>
              <w:bottom w:val="nil"/>
              <w:right w:val="nil"/>
            </w:tcBorders>
            <w:vAlign w:val="center"/>
          </w:tcPr>
          <w:p w14:paraId="21E16CC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509" w:type="pct"/>
            <w:tcBorders>
              <w:top w:val="nil"/>
              <w:left w:val="nil"/>
              <w:bottom w:val="nil"/>
              <w:right w:val="nil"/>
            </w:tcBorders>
            <w:vAlign w:val="center"/>
          </w:tcPr>
          <w:p w14:paraId="6015D52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94" w:type="pct"/>
            <w:tcBorders>
              <w:top w:val="nil"/>
              <w:left w:val="nil"/>
              <w:bottom w:val="nil"/>
              <w:right w:val="nil"/>
            </w:tcBorders>
            <w:vAlign w:val="center"/>
          </w:tcPr>
          <w:p w14:paraId="409ECCA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2</w:t>
            </w:r>
            <w:r>
              <w:rPr>
                <w:rFonts w:hint="default" w:ascii="Times New Roman" w:hAnsi="Times New Roman" w:eastAsia="仿宋" w:cs="Times New Roman"/>
                <w:kern w:val="0"/>
                <w:sz w:val="22"/>
                <w:szCs w:val="20"/>
              </w:rPr>
              <w:t>8.48</w:t>
            </w:r>
          </w:p>
        </w:tc>
        <w:tc>
          <w:tcPr>
            <w:tcW w:w="110" w:type="pct"/>
            <w:tcBorders>
              <w:top w:val="nil"/>
              <w:left w:val="nil"/>
              <w:bottom w:val="nil"/>
              <w:right w:val="nil"/>
            </w:tcBorders>
            <w:vAlign w:val="center"/>
          </w:tcPr>
          <w:p w14:paraId="271DDED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50" w:type="pct"/>
            <w:tcBorders>
              <w:top w:val="nil"/>
              <w:left w:val="nil"/>
              <w:bottom w:val="nil"/>
              <w:right w:val="nil"/>
            </w:tcBorders>
            <w:shd w:val="clear" w:color="auto" w:fill="auto"/>
            <w:vAlign w:val="center"/>
          </w:tcPr>
          <w:p w14:paraId="3FFA8C1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宋体" w:cs="Times New Roman"/>
                <w:color w:val="000000"/>
                <w:kern w:val="0"/>
                <w:sz w:val="22"/>
                <w:szCs w:val="20"/>
              </w:rPr>
            </w:pPr>
            <w:r>
              <w:rPr>
                <w:rFonts w:hint="eastAsia" w:ascii="Times New Roman" w:hAnsi="Times New Roman" w:eastAsia="宋体" w:cs="Times New Roman"/>
                <w:color w:val="000000"/>
                <w:kern w:val="0"/>
                <w:sz w:val="22"/>
                <w:szCs w:val="20"/>
              </w:rPr>
              <w:t>2</w:t>
            </w:r>
            <w:r>
              <w:rPr>
                <w:rFonts w:hint="default" w:ascii="Times New Roman" w:hAnsi="Times New Roman" w:eastAsia="宋体" w:cs="Times New Roman"/>
                <w:color w:val="000000"/>
                <w:kern w:val="0"/>
                <w:sz w:val="22"/>
                <w:szCs w:val="20"/>
              </w:rPr>
              <w:t>4.96</w:t>
            </w:r>
          </w:p>
        </w:tc>
        <w:tc>
          <w:tcPr>
            <w:tcW w:w="538" w:type="pct"/>
            <w:tcBorders>
              <w:top w:val="nil"/>
              <w:left w:val="nil"/>
              <w:bottom w:val="nil"/>
              <w:right w:val="nil"/>
            </w:tcBorders>
            <w:shd w:val="clear" w:color="auto" w:fill="auto"/>
            <w:vAlign w:val="center"/>
          </w:tcPr>
          <w:p w14:paraId="09DDFC3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宋体" w:cs="Times New Roman"/>
                <w:color w:val="000000"/>
                <w:kern w:val="0"/>
                <w:sz w:val="22"/>
                <w:szCs w:val="20"/>
              </w:rPr>
            </w:pPr>
            <w:r>
              <w:rPr>
                <w:rFonts w:hint="eastAsia" w:ascii="Times New Roman" w:hAnsi="Times New Roman" w:eastAsia="宋体" w:cs="Times New Roman"/>
                <w:color w:val="000000"/>
                <w:kern w:val="0"/>
                <w:sz w:val="22"/>
                <w:szCs w:val="20"/>
              </w:rPr>
              <w:t>1</w:t>
            </w:r>
            <w:r>
              <w:rPr>
                <w:rFonts w:hint="default" w:ascii="Times New Roman" w:hAnsi="Times New Roman" w:eastAsia="宋体" w:cs="Times New Roman"/>
                <w:color w:val="000000"/>
                <w:kern w:val="0"/>
                <w:sz w:val="22"/>
                <w:szCs w:val="20"/>
              </w:rPr>
              <w:t>.88</w:t>
            </w:r>
          </w:p>
        </w:tc>
      </w:tr>
      <w:tr w14:paraId="57187B71">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37" w:type="pct"/>
            <w:vMerge w:val="continue"/>
            <w:tcBorders>
              <w:left w:val="nil"/>
              <w:right w:val="nil"/>
            </w:tcBorders>
            <w:vAlign w:val="center"/>
          </w:tcPr>
          <w:p w14:paraId="60DA9CB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0" w:type="pct"/>
            <w:vMerge w:val="continue"/>
            <w:tcBorders>
              <w:top w:val="single" w:color="auto" w:sz="4" w:space="0"/>
              <w:left w:val="nil"/>
              <w:bottom w:val="single" w:color="auto" w:sz="4" w:space="0"/>
              <w:right w:val="nil"/>
            </w:tcBorders>
            <w:vAlign w:val="center"/>
          </w:tcPr>
          <w:p w14:paraId="3DBAB26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3" w:type="pct"/>
            <w:vMerge w:val="continue"/>
            <w:tcBorders>
              <w:top w:val="single" w:color="auto" w:sz="4" w:space="0"/>
              <w:left w:val="nil"/>
              <w:bottom w:val="single" w:color="auto" w:sz="4" w:space="0"/>
              <w:right w:val="nil"/>
            </w:tcBorders>
            <w:vAlign w:val="center"/>
          </w:tcPr>
          <w:p w14:paraId="3E5B13C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6" w:type="pct"/>
            <w:tcBorders>
              <w:top w:val="nil"/>
              <w:left w:val="nil"/>
              <w:bottom w:val="single" w:color="auto" w:sz="4" w:space="0"/>
              <w:right w:val="nil"/>
            </w:tcBorders>
            <w:vAlign w:val="center"/>
          </w:tcPr>
          <w:p w14:paraId="4712848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2</w:t>
            </w:r>
          </w:p>
        </w:tc>
        <w:tc>
          <w:tcPr>
            <w:tcW w:w="551" w:type="pct"/>
            <w:tcBorders>
              <w:top w:val="nil"/>
              <w:left w:val="nil"/>
              <w:bottom w:val="single" w:color="auto" w:sz="4" w:space="0"/>
              <w:right w:val="nil"/>
            </w:tcBorders>
            <w:vAlign w:val="center"/>
          </w:tcPr>
          <w:p w14:paraId="2C72CA3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52" w:type="pct"/>
            <w:tcBorders>
              <w:top w:val="nil"/>
              <w:left w:val="nil"/>
              <w:bottom w:val="single" w:color="auto" w:sz="4" w:space="0"/>
              <w:right w:val="nil"/>
            </w:tcBorders>
            <w:vAlign w:val="center"/>
          </w:tcPr>
          <w:p w14:paraId="4AC583E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3</w:t>
            </w:r>
            <w:r>
              <w:rPr>
                <w:rFonts w:hint="default" w:ascii="Times New Roman" w:hAnsi="Times New Roman" w:eastAsia="仿宋" w:cs="Times New Roman"/>
                <w:kern w:val="0"/>
                <w:sz w:val="22"/>
                <w:szCs w:val="20"/>
              </w:rPr>
              <w:t>5.91</w:t>
            </w:r>
          </w:p>
        </w:tc>
        <w:tc>
          <w:tcPr>
            <w:tcW w:w="84" w:type="pct"/>
            <w:tcBorders>
              <w:top w:val="nil"/>
              <w:left w:val="nil"/>
              <w:bottom w:val="single" w:color="auto" w:sz="4" w:space="0"/>
              <w:right w:val="nil"/>
            </w:tcBorders>
            <w:vAlign w:val="center"/>
          </w:tcPr>
          <w:p w14:paraId="166193B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509" w:type="pct"/>
            <w:tcBorders>
              <w:top w:val="nil"/>
              <w:left w:val="nil"/>
              <w:bottom w:val="single" w:color="auto" w:sz="4" w:space="0"/>
              <w:right w:val="nil"/>
            </w:tcBorders>
            <w:vAlign w:val="center"/>
          </w:tcPr>
          <w:p w14:paraId="386D0E8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94" w:type="pct"/>
            <w:tcBorders>
              <w:top w:val="nil"/>
              <w:left w:val="nil"/>
              <w:bottom w:val="single" w:color="auto" w:sz="4" w:space="0"/>
              <w:right w:val="nil"/>
            </w:tcBorders>
            <w:vAlign w:val="center"/>
          </w:tcPr>
          <w:p w14:paraId="4AD22CB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2</w:t>
            </w:r>
            <w:r>
              <w:rPr>
                <w:rFonts w:hint="default" w:ascii="Times New Roman" w:hAnsi="Times New Roman" w:eastAsia="仿宋" w:cs="Times New Roman"/>
                <w:kern w:val="0"/>
                <w:sz w:val="22"/>
                <w:szCs w:val="20"/>
              </w:rPr>
              <w:t>6.96</w:t>
            </w:r>
          </w:p>
        </w:tc>
        <w:tc>
          <w:tcPr>
            <w:tcW w:w="110" w:type="pct"/>
            <w:tcBorders>
              <w:top w:val="nil"/>
              <w:left w:val="nil"/>
              <w:bottom w:val="single" w:color="auto" w:sz="4" w:space="0"/>
              <w:right w:val="nil"/>
            </w:tcBorders>
            <w:vAlign w:val="center"/>
          </w:tcPr>
          <w:p w14:paraId="7C0AA87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50" w:type="pct"/>
            <w:tcBorders>
              <w:top w:val="nil"/>
              <w:left w:val="nil"/>
              <w:bottom w:val="single" w:color="auto" w:sz="4" w:space="0"/>
              <w:right w:val="nil"/>
            </w:tcBorders>
            <w:shd w:val="clear" w:color="auto" w:fill="auto"/>
            <w:vAlign w:val="center"/>
          </w:tcPr>
          <w:p w14:paraId="3FED053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宋体" w:cs="Times New Roman"/>
                <w:color w:val="000000"/>
                <w:kern w:val="0"/>
                <w:sz w:val="22"/>
                <w:szCs w:val="20"/>
              </w:rPr>
            </w:pPr>
            <w:r>
              <w:rPr>
                <w:rFonts w:hint="eastAsia" w:ascii="Times New Roman" w:hAnsi="Times New Roman" w:eastAsia="宋体" w:cs="Times New Roman"/>
                <w:color w:val="000000"/>
                <w:kern w:val="0"/>
                <w:sz w:val="22"/>
                <w:szCs w:val="20"/>
              </w:rPr>
              <w:t>8</w:t>
            </w:r>
            <w:r>
              <w:rPr>
                <w:rFonts w:hint="default" w:ascii="Times New Roman" w:hAnsi="Times New Roman" w:eastAsia="宋体" w:cs="Times New Roman"/>
                <w:color w:val="000000"/>
                <w:kern w:val="0"/>
                <w:sz w:val="22"/>
                <w:szCs w:val="20"/>
              </w:rPr>
              <w:t>.95</w:t>
            </w:r>
          </w:p>
        </w:tc>
        <w:tc>
          <w:tcPr>
            <w:tcW w:w="538" w:type="pct"/>
            <w:tcBorders>
              <w:top w:val="nil"/>
              <w:left w:val="nil"/>
              <w:bottom w:val="single" w:color="auto" w:sz="4" w:space="0"/>
              <w:right w:val="nil"/>
            </w:tcBorders>
            <w:shd w:val="clear" w:color="auto" w:fill="auto"/>
            <w:vAlign w:val="center"/>
          </w:tcPr>
          <w:p w14:paraId="02ECF24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宋体" w:cs="Times New Roman"/>
                <w:color w:val="000000"/>
                <w:kern w:val="0"/>
                <w:sz w:val="22"/>
                <w:szCs w:val="20"/>
              </w:rPr>
            </w:pPr>
            <w:r>
              <w:rPr>
                <w:rFonts w:hint="eastAsia" w:ascii="Times New Roman" w:hAnsi="Times New Roman" w:eastAsia="宋体" w:cs="Times New Roman"/>
                <w:color w:val="000000"/>
                <w:kern w:val="0"/>
                <w:sz w:val="22"/>
                <w:szCs w:val="20"/>
              </w:rPr>
              <w:t>1</w:t>
            </w:r>
            <w:r>
              <w:rPr>
                <w:rFonts w:hint="default" w:ascii="Times New Roman" w:hAnsi="Times New Roman" w:eastAsia="宋体" w:cs="Times New Roman"/>
                <w:color w:val="000000"/>
                <w:kern w:val="0"/>
                <w:sz w:val="22"/>
                <w:szCs w:val="20"/>
              </w:rPr>
              <w:t>.33</w:t>
            </w:r>
          </w:p>
        </w:tc>
      </w:tr>
      <w:tr w14:paraId="0A70A300">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37" w:type="pct"/>
            <w:vMerge w:val="continue"/>
            <w:tcBorders>
              <w:left w:val="nil"/>
              <w:right w:val="nil"/>
            </w:tcBorders>
            <w:vAlign w:val="center"/>
          </w:tcPr>
          <w:p w14:paraId="6144877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0" w:type="pct"/>
            <w:vMerge w:val="restart"/>
            <w:tcBorders>
              <w:top w:val="single" w:color="auto" w:sz="4" w:space="0"/>
              <w:left w:val="nil"/>
              <w:right w:val="nil"/>
            </w:tcBorders>
            <w:vAlign w:val="center"/>
          </w:tcPr>
          <w:p w14:paraId="1D0E339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下午</w:t>
            </w:r>
          </w:p>
        </w:tc>
        <w:tc>
          <w:tcPr>
            <w:tcW w:w="423" w:type="pct"/>
            <w:vMerge w:val="restart"/>
            <w:tcBorders>
              <w:top w:val="single" w:color="auto" w:sz="4" w:space="0"/>
              <w:left w:val="nil"/>
              <w:right w:val="nil"/>
            </w:tcBorders>
            <w:vAlign w:val="center"/>
          </w:tcPr>
          <w:p w14:paraId="44DE847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站厅</w:t>
            </w:r>
          </w:p>
        </w:tc>
        <w:tc>
          <w:tcPr>
            <w:tcW w:w="426" w:type="pct"/>
            <w:tcBorders>
              <w:top w:val="single" w:color="auto" w:sz="4" w:space="0"/>
              <w:left w:val="nil"/>
              <w:bottom w:val="nil"/>
              <w:right w:val="nil"/>
            </w:tcBorders>
            <w:vAlign w:val="center"/>
          </w:tcPr>
          <w:p w14:paraId="278BD9A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w:t>
            </w:r>
          </w:p>
        </w:tc>
        <w:tc>
          <w:tcPr>
            <w:tcW w:w="551" w:type="pct"/>
            <w:tcBorders>
              <w:top w:val="single" w:color="auto" w:sz="4" w:space="0"/>
              <w:left w:val="nil"/>
              <w:bottom w:val="nil"/>
              <w:right w:val="nil"/>
            </w:tcBorders>
            <w:vAlign w:val="center"/>
          </w:tcPr>
          <w:p w14:paraId="3B2A16D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52" w:type="pct"/>
            <w:tcBorders>
              <w:top w:val="single" w:color="auto" w:sz="4" w:space="0"/>
              <w:left w:val="nil"/>
              <w:bottom w:val="nil"/>
              <w:right w:val="nil"/>
            </w:tcBorders>
            <w:vAlign w:val="center"/>
          </w:tcPr>
          <w:p w14:paraId="58BB05E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4</w:t>
            </w:r>
            <w:r>
              <w:rPr>
                <w:rFonts w:hint="default" w:ascii="Times New Roman" w:hAnsi="Times New Roman" w:eastAsia="仿宋" w:cs="Times New Roman"/>
                <w:kern w:val="0"/>
                <w:sz w:val="22"/>
                <w:szCs w:val="20"/>
              </w:rPr>
              <w:t>0.54</w:t>
            </w:r>
          </w:p>
        </w:tc>
        <w:tc>
          <w:tcPr>
            <w:tcW w:w="84" w:type="pct"/>
            <w:tcBorders>
              <w:top w:val="single" w:color="auto" w:sz="4" w:space="0"/>
              <w:left w:val="nil"/>
              <w:bottom w:val="nil"/>
              <w:right w:val="nil"/>
            </w:tcBorders>
            <w:vAlign w:val="center"/>
          </w:tcPr>
          <w:p w14:paraId="19DE59E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509" w:type="pct"/>
            <w:tcBorders>
              <w:top w:val="single" w:color="auto" w:sz="4" w:space="0"/>
              <w:left w:val="nil"/>
              <w:bottom w:val="nil"/>
              <w:right w:val="nil"/>
            </w:tcBorders>
            <w:vAlign w:val="center"/>
          </w:tcPr>
          <w:p w14:paraId="022C4E8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94" w:type="pct"/>
            <w:tcBorders>
              <w:top w:val="single" w:color="auto" w:sz="4" w:space="0"/>
              <w:left w:val="nil"/>
              <w:bottom w:val="nil"/>
              <w:right w:val="nil"/>
            </w:tcBorders>
            <w:vAlign w:val="center"/>
          </w:tcPr>
          <w:p w14:paraId="78CDA02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4</w:t>
            </w:r>
            <w:r>
              <w:rPr>
                <w:rFonts w:hint="default" w:ascii="Times New Roman" w:hAnsi="Times New Roman" w:eastAsia="仿宋" w:cs="Times New Roman"/>
                <w:kern w:val="0"/>
                <w:sz w:val="22"/>
                <w:szCs w:val="20"/>
              </w:rPr>
              <w:t>1.75</w:t>
            </w:r>
          </w:p>
        </w:tc>
        <w:tc>
          <w:tcPr>
            <w:tcW w:w="110" w:type="pct"/>
            <w:tcBorders>
              <w:top w:val="single" w:color="auto" w:sz="4" w:space="0"/>
              <w:left w:val="nil"/>
              <w:bottom w:val="nil"/>
              <w:right w:val="nil"/>
            </w:tcBorders>
            <w:vAlign w:val="center"/>
          </w:tcPr>
          <w:p w14:paraId="0385F5D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50" w:type="pct"/>
            <w:tcBorders>
              <w:top w:val="single" w:color="auto" w:sz="4" w:space="0"/>
              <w:left w:val="nil"/>
              <w:bottom w:val="nil"/>
              <w:right w:val="nil"/>
            </w:tcBorders>
            <w:shd w:val="clear" w:color="auto" w:fill="auto"/>
            <w:vAlign w:val="center"/>
          </w:tcPr>
          <w:p w14:paraId="4534819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宋体" w:cs="Times New Roman"/>
                <w:color w:val="000000"/>
                <w:kern w:val="0"/>
                <w:sz w:val="22"/>
                <w:szCs w:val="20"/>
              </w:rPr>
            </w:pPr>
            <w:r>
              <w:rPr>
                <w:rFonts w:hint="eastAsia" w:ascii="Times New Roman" w:hAnsi="Times New Roman" w:eastAsia="宋体" w:cs="Times New Roman"/>
                <w:color w:val="000000"/>
                <w:kern w:val="0"/>
                <w:sz w:val="22"/>
                <w:szCs w:val="20"/>
              </w:rPr>
              <w:t>-</w:t>
            </w:r>
            <w:r>
              <w:rPr>
                <w:rFonts w:hint="default" w:ascii="Times New Roman" w:hAnsi="Times New Roman" w:eastAsia="宋体" w:cs="Times New Roman"/>
                <w:color w:val="000000"/>
                <w:kern w:val="0"/>
                <w:sz w:val="22"/>
                <w:szCs w:val="20"/>
              </w:rPr>
              <w:t>1.21</w:t>
            </w:r>
          </w:p>
        </w:tc>
        <w:tc>
          <w:tcPr>
            <w:tcW w:w="538" w:type="pct"/>
            <w:tcBorders>
              <w:top w:val="single" w:color="auto" w:sz="4" w:space="0"/>
              <w:left w:val="nil"/>
              <w:bottom w:val="nil"/>
              <w:right w:val="nil"/>
            </w:tcBorders>
            <w:shd w:val="clear" w:color="auto" w:fill="auto"/>
            <w:vAlign w:val="center"/>
          </w:tcPr>
          <w:p w14:paraId="0A5C1A7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宋体" w:cs="Times New Roman"/>
                <w:color w:val="000000"/>
                <w:kern w:val="0"/>
                <w:sz w:val="22"/>
                <w:szCs w:val="20"/>
              </w:rPr>
            </w:pPr>
            <w:r>
              <w:rPr>
                <w:rFonts w:hint="eastAsia" w:ascii="Times New Roman" w:hAnsi="Times New Roman" w:eastAsia="宋体" w:cs="Times New Roman"/>
                <w:color w:val="000000"/>
                <w:kern w:val="0"/>
                <w:sz w:val="22"/>
                <w:szCs w:val="20"/>
              </w:rPr>
              <w:t>0</w:t>
            </w:r>
            <w:r>
              <w:rPr>
                <w:rFonts w:hint="default" w:ascii="Times New Roman" w:hAnsi="Times New Roman" w:eastAsia="宋体" w:cs="Times New Roman"/>
                <w:color w:val="000000"/>
                <w:kern w:val="0"/>
                <w:sz w:val="22"/>
                <w:szCs w:val="20"/>
              </w:rPr>
              <w:t>.97</w:t>
            </w:r>
          </w:p>
        </w:tc>
      </w:tr>
      <w:tr w14:paraId="6B9BDE25">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37" w:type="pct"/>
            <w:vMerge w:val="continue"/>
            <w:tcBorders>
              <w:left w:val="nil"/>
              <w:right w:val="nil"/>
            </w:tcBorders>
            <w:vAlign w:val="center"/>
          </w:tcPr>
          <w:p w14:paraId="1E29E0F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0" w:type="pct"/>
            <w:vMerge w:val="continue"/>
            <w:tcBorders>
              <w:left w:val="nil"/>
              <w:right w:val="nil"/>
            </w:tcBorders>
            <w:vAlign w:val="center"/>
          </w:tcPr>
          <w:p w14:paraId="47A80C6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3" w:type="pct"/>
            <w:vMerge w:val="continue"/>
            <w:tcBorders>
              <w:left w:val="nil"/>
              <w:bottom w:val="nil"/>
              <w:right w:val="nil"/>
            </w:tcBorders>
            <w:vAlign w:val="center"/>
          </w:tcPr>
          <w:p w14:paraId="14F1308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6" w:type="pct"/>
            <w:tcBorders>
              <w:top w:val="nil"/>
              <w:left w:val="nil"/>
              <w:bottom w:val="nil"/>
              <w:right w:val="nil"/>
            </w:tcBorders>
            <w:vAlign w:val="center"/>
          </w:tcPr>
          <w:p w14:paraId="03E0563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2</w:t>
            </w:r>
          </w:p>
        </w:tc>
        <w:tc>
          <w:tcPr>
            <w:tcW w:w="551" w:type="pct"/>
            <w:tcBorders>
              <w:top w:val="nil"/>
              <w:left w:val="nil"/>
              <w:bottom w:val="nil"/>
              <w:right w:val="nil"/>
            </w:tcBorders>
            <w:vAlign w:val="center"/>
          </w:tcPr>
          <w:p w14:paraId="5058FA7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52" w:type="pct"/>
            <w:tcBorders>
              <w:top w:val="nil"/>
              <w:left w:val="nil"/>
              <w:bottom w:val="nil"/>
              <w:right w:val="nil"/>
            </w:tcBorders>
            <w:vAlign w:val="center"/>
          </w:tcPr>
          <w:p w14:paraId="008C6ED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5</w:t>
            </w:r>
            <w:r>
              <w:rPr>
                <w:rFonts w:hint="default" w:ascii="Times New Roman" w:hAnsi="Times New Roman" w:eastAsia="仿宋" w:cs="Times New Roman"/>
                <w:kern w:val="0"/>
                <w:sz w:val="22"/>
                <w:szCs w:val="20"/>
              </w:rPr>
              <w:t>3.11</w:t>
            </w:r>
          </w:p>
        </w:tc>
        <w:tc>
          <w:tcPr>
            <w:tcW w:w="84" w:type="pct"/>
            <w:tcBorders>
              <w:top w:val="nil"/>
              <w:left w:val="nil"/>
              <w:bottom w:val="nil"/>
              <w:right w:val="nil"/>
            </w:tcBorders>
            <w:vAlign w:val="center"/>
          </w:tcPr>
          <w:p w14:paraId="2684BA8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509" w:type="pct"/>
            <w:tcBorders>
              <w:top w:val="nil"/>
              <w:left w:val="nil"/>
              <w:bottom w:val="nil"/>
              <w:right w:val="nil"/>
            </w:tcBorders>
            <w:vAlign w:val="center"/>
          </w:tcPr>
          <w:p w14:paraId="4CF5462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94" w:type="pct"/>
            <w:tcBorders>
              <w:top w:val="nil"/>
              <w:left w:val="nil"/>
              <w:bottom w:val="nil"/>
              <w:right w:val="nil"/>
            </w:tcBorders>
            <w:vAlign w:val="center"/>
          </w:tcPr>
          <w:p w14:paraId="7892365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4</w:t>
            </w:r>
            <w:r>
              <w:rPr>
                <w:rFonts w:hint="default" w:ascii="Times New Roman" w:hAnsi="Times New Roman" w:eastAsia="仿宋" w:cs="Times New Roman"/>
                <w:kern w:val="0"/>
                <w:sz w:val="22"/>
                <w:szCs w:val="20"/>
              </w:rPr>
              <w:t>0.28</w:t>
            </w:r>
          </w:p>
        </w:tc>
        <w:tc>
          <w:tcPr>
            <w:tcW w:w="110" w:type="pct"/>
            <w:tcBorders>
              <w:top w:val="nil"/>
              <w:left w:val="nil"/>
              <w:bottom w:val="nil"/>
              <w:right w:val="nil"/>
            </w:tcBorders>
            <w:vAlign w:val="center"/>
          </w:tcPr>
          <w:p w14:paraId="1C3B0DF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50" w:type="pct"/>
            <w:tcBorders>
              <w:top w:val="nil"/>
              <w:left w:val="nil"/>
              <w:bottom w:val="nil"/>
              <w:right w:val="nil"/>
            </w:tcBorders>
            <w:shd w:val="clear" w:color="auto" w:fill="auto"/>
            <w:vAlign w:val="center"/>
          </w:tcPr>
          <w:p w14:paraId="20942B8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宋体" w:cs="Times New Roman"/>
                <w:color w:val="000000"/>
                <w:kern w:val="0"/>
                <w:sz w:val="22"/>
                <w:szCs w:val="20"/>
              </w:rPr>
            </w:pPr>
            <w:r>
              <w:rPr>
                <w:rFonts w:hint="eastAsia" w:ascii="Times New Roman" w:hAnsi="Times New Roman" w:eastAsia="宋体" w:cs="Times New Roman"/>
                <w:color w:val="000000"/>
                <w:kern w:val="0"/>
                <w:sz w:val="22"/>
                <w:szCs w:val="20"/>
              </w:rPr>
              <w:t>1</w:t>
            </w:r>
            <w:r>
              <w:rPr>
                <w:rFonts w:hint="default" w:ascii="Times New Roman" w:hAnsi="Times New Roman" w:eastAsia="宋体" w:cs="Times New Roman"/>
                <w:color w:val="000000"/>
                <w:kern w:val="0"/>
                <w:sz w:val="22"/>
                <w:szCs w:val="20"/>
              </w:rPr>
              <w:t>2.84</w:t>
            </w:r>
          </w:p>
        </w:tc>
        <w:tc>
          <w:tcPr>
            <w:tcW w:w="538" w:type="pct"/>
            <w:tcBorders>
              <w:top w:val="nil"/>
              <w:left w:val="nil"/>
              <w:bottom w:val="nil"/>
              <w:right w:val="nil"/>
            </w:tcBorders>
            <w:shd w:val="clear" w:color="auto" w:fill="auto"/>
            <w:vAlign w:val="center"/>
          </w:tcPr>
          <w:p w14:paraId="6F56AF9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宋体" w:cs="Times New Roman"/>
                <w:color w:val="000000"/>
                <w:kern w:val="0"/>
                <w:sz w:val="22"/>
                <w:szCs w:val="20"/>
              </w:rPr>
            </w:pPr>
            <w:r>
              <w:rPr>
                <w:rFonts w:hint="eastAsia" w:ascii="Times New Roman" w:hAnsi="Times New Roman" w:eastAsia="宋体" w:cs="Times New Roman"/>
                <w:color w:val="000000"/>
                <w:kern w:val="0"/>
                <w:sz w:val="22"/>
                <w:szCs w:val="20"/>
              </w:rPr>
              <w:t>1</w:t>
            </w:r>
            <w:r>
              <w:rPr>
                <w:rFonts w:hint="default" w:ascii="Times New Roman" w:hAnsi="Times New Roman" w:eastAsia="宋体" w:cs="Times New Roman"/>
                <w:color w:val="000000"/>
                <w:kern w:val="0"/>
                <w:sz w:val="22"/>
                <w:szCs w:val="20"/>
              </w:rPr>
              <w:t>.32</w:t>
            </w:r>
          </w:p>
        </w:tc>
      </w:tr>
      <w:tr w14:paraId="20471D2A">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37" w:type="pct"/>
            <w:vMerge w:val="continue"/>
            <w:tcBorders>
              <w:left w:val="nil"/>
              <w:right w:val="nil"/>
            </w:tcBorders>
            <w:vAlign w:val="center"/>
          </w:tcPr>
          <w:p w14:paraId="55A60FA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0" w:type="pct"/>
            <w:vMerge w:val="continue"/>
            <w:tcBorders>
              <w:left w:val="nil"/>
              <w:right w:val="nil"/>
            </w:tcBorders>
            <w:vAlign w:val="center"/>
          </w:tcPr>
          <w:p w14:paraId="5EB2536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3" w:type="pct"/>
            <w:vMerge w:val="restart"/>
            <w:tcBorders>
              <w:top w:val="nil"/>
              <w:left w:val="nil"/>
              <w:right w:val="nil"/>
            </w:tcBorders>
            <w:vAlign w:val="center"/>
          </w:tcPr>
          <w:p w14:paraId="7A366DE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站台</w:t>
            </w:r>
          </w:p>
        </w:tc>
        <w:tc>
          <w:tcPr>
            <w:tcW w:w="426" w:type="pct"/>
            <w:tcBorders>
              <w:top w:val="nil"/>
              <w:left w:val="nil"/>
              <w:bottom w:val="nil"/>
              <w:right w:val="nil"/>
            </w:tcBorders>
            <w:vAlign w:val="center"/>
          </w:tcPr>
          <w:p w14:paraId="152449A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w:t>
            </w:r>
          </w:p>
        </w:tc>
        <w:tc>
          <w:tcPr>
            <w:tcW w:w="551" w:type="pct"/>
            <w:tcBorders>
              <w:top w:val="nil"/>
              <w:left w:val="nil"/>
              <w:bottom w:val="nil"/>
              <w:right w:val="nil"/>
            </w:tcBorders>
            <w:vAlign w:val="center"/>
          </w:tcPr>
          <w:p w14:paraId="2C2A982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52" w:type="pct"/>
            <w:tcBorders>
              <w:top w:val="nil"/>
              <w:left w:val="nil"/>
              <w:bottom w:val="nil"/>
              <w:right w:val="nil"/>
            </w:tcBorders>
            <w:vAlign w:val="center"/>
          </w:tcPr>
          <w:p w14:paraId="791C267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2</w:t>
            </w:r>
            <w:r>
              <w:rPr>
                <w:rFonts w:hint="default" w:ascii="Times New Roman" w:hAnsi="Times New Roman" w:eastAsia="仿宋" w:cs="Times New Roman"/>
                <w:kern w:val="0"/>
                <w:sz w:val="22"/>
                <w:szCs w:val="20"/>
              </w:rPr>
              <w:t>5.97</w:t>
            </w:r>
          </w:p>
        </w:tc>
        <w:tc>
          <w:tcPr>
            <w:tcW w:w="84" w:type="pct"/>
            <w:tcBorders>
              <w:top w:val="nil"/>
              <w:left w:val="nil"/>
              <w:bottom w:val="nil"/>
              <w:right w:val="nil"/>
            </w:tcBorders>
            <w:vAlign w:val="center"/>
          </w:tcPr>
          <w:p w14:paraId="47FCD80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509" w:type="pct"/>
            <w:tcBorders>
              <w:top w:val="nil"/>
              <w:left w:val="nil"/>
              <w:bottom w:val="nil"/>
              <w:right w:val="nil"/>
            </w:tcBorders>
            <w:vAlign w:val="center"/>
          </w:tcPr>
          <w:p w14:paraId="49F8904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94" w:type="pct"/>
            <w:tcBorders>
              <w:top w:val="nil"/>
              <w:left w:val="nil"/>
              <w:bottom w:val="nil"/>
              <w:right w:val="nil"/>
            </w:tcBorders>
            <w:vAlign w:val="center"/>
          </w:tcPr>
          <w:p w14:paraId="5FC4112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4</w:t>
            </w:r>
            <w:r>
              <w:rPr>
                <w:rFonts w:hint="default" w:ascii="Times New Roman" w:hAnsi="Times New Roman" w:eastAsia="仿宋" w:cs="Times New Roman"/>
                <w:kern w:val="0"/>
                <w:sz w:val="22"/>
                <w:szCs w:val="20"/>
              </w:rPr>
              <w:t>6.13</w:t>
            </w:r>
          </w:p>
        </w:tc>
        <w:tc>
          <w:tcPr>
            <w:tcW w:w="110" w:type="pct"/>
            <w:tcBorders>
              <w:top w:val="nil"/>
              <w:left w:val="nil"/>
              <w:bottom w:val="nil"/>
              <w:right w:val="nil"/>
            </w:tcBorders>
            <w:vAlign w:val="center"/>
          </w:tcPr>
          <w:p w14:paraId="7FD27CF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50" w:type="pct"/>
            <w:tcBorders>
              <w:top w:val="nil"/>
              <w:left w:val="nil"/>
              <w:bottom w:val="nil"/>
              <w:right w:val="nil"/>
            </w:tcBorders>
            <w:shd w:val="clear" w:color="auto" w:fill="auto"/>
            <w:vAlign w:val="center"/>
          </w:tcPr>
          <w:p w14:paraId="49124A8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宋体" w:cs="Times New Roman"/>
                <w:color w:val="000000"/>
                <w:kern w:val="0"/>
                <w:sz w:val="22"/>
                <w:szCs w:val="20"/>
              </w:rPr>
            </w:pPr>
            <w:r>
              <w:rPr>
                <w:rFonts w:hint="eastAsia" w:ascii="Times New Roman" w:hAnsi="Times New Roman" w:eastAsia="宋体" w:cs="Times New Roman"/>
                <w:color w:val="000000"/>
                <w:kern w:val="0"/>
                <w:sz w:val="22"/>
                <w:szCs w:val="20"/>
              </w:rPr>
              <w:t>-</w:t>
            </w:r>
            <w:r>
              <w:rPr>
                <w:rFonts w:hint="default" w:ascii="Times New Roman" w:hAnsi="Times New Roman" w:eastAsia="宋体" w:cs="Times New Roman"/>
                <w:color w:val="000000"/>
                <w:kern w:val="0"/>
                <w:sz w:val="22"/>
                <w:szCs w:val="20"/>
              </w:rPr>
              <w:t>20.17</w:t>
            </w:r>
          </w:p>
        </w:tc>
        <w:tc>
          <w:tcPr>
            <w:tcW w:w="538" w:type="pct"/>
            <w:tcBorders>
              <w:top w:val="nil"/>
              <w:left w:val="nil"/>
              <w:bottom w:val="nil"/>
              <w:right w:val="nil"/>
            </w:tcBorders>
            <w:shd w:val="clear" w:color="auto" w:fill="auto"/>
            <w:vAlign w:val="center"/>
          </w:tcPr>
          <w:p w14:paraId="5DC3169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宋体" w:cs="Times New Roman"/>
                <w:color w:val="000000"/>
                <w:kern w:val="0"/>
                <w:sz w:val="22"/>
                <w:szCs w:val="20"/>
              </w:rPr>
            </w:pPr>
            <w:r>
              <w:rPr>
                <w:rFonts w:hint="eastAsia" w:ascii="Times New Roman" w:hAnsi="Times New Roman" w:eastAsia="宋体" w:cs="Times New Roman"/>
                <w:color w:val="000000"/>
                <w:kern w:val="0"/>
                <w:sz w:val="22"/>
                <w:szCs w:val="20"/>
              </w:rPr>
              <w:t>0</w:t>
            </w:r>
            <w:r>
              <w:rPr>
                <w:rFonts w:hint="default" w:ascii="Times New Roman" w:hAnsi="Times New Roman" w:eastAsia="宋体" w:cs="Times New Roman"/>
                <w:color w:val="000000"/>
                <w:kern w:val="0"/>
                <w:sz w:val="22"/>
                <w:szCs w:val="20"/>
              </w:rPr>
              <w:t>.56</w:t>
            </w:r>
          </w:p>
        </w:tc>
      </w:tr>
      <w:tr w14:paraId="65D9E8E7">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37" w:type="pct"/>
            <w:vMerge w:val="continue"/>
            <w:tcBorders>
              <w:left w:val="nil"/>
              <w:right w:val="nil"/>
            </w:tcBorders>
            <w:vAlign w:val="center"/>
          </w:tcPr>
          <w:p w14:paraId="63369A7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0" w:type="pct"/>
            <w:vMerge w:val="continue"/>
            <w:tcBorders>
              <w:left w:val="nil"/>
              <w:bottom w:val="single" w:color="auto" w:sz="4" w:space="0"/>
              <w:right w:val="nil"/>
            </w:tcBorders>
            <w:vAlign w:val="center"/>
          </w:tcPr>
          <w:p w14:paraId="40D0A8A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3" w:type="pct"/>
            <w:vMerge w:val="continue"/>
            <w:tcBorders>
              <w:left w:val="nil"/>
              <w:bottom w:val="single" w:color="auto" w:sz="4" w:space="0"/>
              <w:right w:val="nil"/>
            </w:tcBorders>
            <w:vAlign w:val="center"/>
          </w:tcPr>
          <w:p w14:paraId="1FE2542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6" w:type="pct"/>
            <w:tcBorders>
              <w:top w:val="nil"/>
              <w:left w:val="nil"/>
              <w:bottom w:val="single" w:color="auto" w:sz="4" w:space="0"/>
              <w:right w:val="nil"/>
            </w:tcBorders>
            <w:vAlign w:val="center"/>
          </w:tcPr>
          <w:p w14:paraId="48C314F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2</w:t>
            </w:r>
          </w:p>
        </w:tc>
        <w:tc>
          <w:tcPr>
            <w:tcW w:w="551" w:type="pct"/>
            <w:tcBorders>
              <w:top w:val="nil"/>
              <w:left w:val="nil"/>
              <w:bottom w:val="single" w:color="auto" w:sz="4" w:space="0"/>
              <w:right w:val="nil"/>
            </w:tcBorders>
            <w:vAlign w:val="center"/>
          </w:tcPr>
          <w:p w14:paraId="7F08156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52" w:type="pct"/>
            <w:tcBorders>
              <w:top w:val="nil"/>
              <w:left w:val="nil"/>
              <w:bottom w:val="single" w:color="auto" w:sz="4" w:space="0"/>
              <w:right w:val="nil"/>
            </w:tcBorders>
            <w:vAlign w:val="center"/>
          </w:tcPr>
          <w:p w14:paraId="742B04A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3</w:t>
            </w:r>
            <w:r>
              <w:rPr>
                <w:rFonts w:hint="default" w:ascii="Times New Roman" w:hAnsi="Times New Roman" w:eastAsia="仿宋" w:cs="Times New Roman"/>
                <w:kern w:val="0"/>
                <w:sz w:val="22"/>
                <w:szCs w:val="20"/>
              </w:rPr>
              <w:t>2.86</w:t>
            </w:r>
          </w:p>
        </w:tc>
        <w:tc>
          <w:tcPr>
            <w:tcW w:w="84" w:type="pct"/>
            <w:tcBorders>
              <w:top w:val="nil"/>
              <w:left w:val="nil"/>
              <w:bottom w:val="single" w:color="auto" w:sz="4" w:space="0"/>
              <w:right w:val="nil"/>
            </w:tcBorders>
            <w:vAlign w:val="center"/>
          </w:tcPr>
          <w:p w14:paraId="315EB03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509" w:type="pct"/>
            <w:tcBorders>
              <w:top w:val="nil"/>
              <w:left w:val="nil"/>
              <w:bottom w:val="single" w:color="auto" w:sz="4" w:space="0"/>
              <w:right w:val="nil"/>
            </w:tcBorders>
            <w:vAlign w:val="center"/>
          </w:tcPr>
          <w:p w14:paraId="189B32A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94" w:type="pct"/>
            <w:tcBorders>
              <w:top w:val="nil"/>
              <w:left w:val="nil"/>
              <w:bottom w:val="single" w:color="auto" w:sz="4" w:space="0"/>
              <w:right w:val="nil"/>
            </w:tcBorders>
            <w:vAlign w:val="center"/>
          </w:tcPr>
          <w:p w14:paraId="14F40AF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1</w:t>
            </w:r>
            <w:r>
              <w:rPr>
                <w:rFonts w:hint="default" w:ascii="Times New Roman" w:hAnsi="Times New Roman" w:eastAsia="仿宋" w:cs="Times New Roman"/>
                <w:kern w:val="0"/>
                <w:sz w:val="22"/>
                <w:szCs w:val="20"/>
              </w:rPr>
              <w:t>8.65</w:t>
            </w:r>
          </w:p>
        </w:tc>
        <w:tc>
          <w:tcPr>
            <w:tcW w:w="110" w:type="pct"/>
            <w:tcBorders>
              <w:top w:val="nil"/>
              <w:left w:val="nil"/>
              <w:bottom w:val="single" w:color="auto" w:sz="4" w:space="0"/>
              <w:right w:val="nil"/>
            </w:tcBorders>
            <w:vAlign w:val="center"/>
          </w:tcPr>
          <w:p w14:paraId="7156543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50" w:type="pct"/>
            <w:tcBorders>
              <w:top w:val="nil"/>
              <w:left w:val="nil"/>
              <w:bottom w:val="single" w:color="auto" w:sz="4" w:space="0"/>
              <w:right w:val="nil"/>
            </w:tcBorders>
            <w:shd w:val="clear" w:color="auto" w:fill="auto"/>
            <w:vAlign w:val="center"/>
          </w:tcPr>
          <w:p w14:paraId="17E9A6B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宋体" w:cs="Times New Roman"/>
                <w:color w:val="000000"/>
                <w:kern w:val="0"/>
                <w:sz w:val="22"/>
                <w:szCs w:val="20"/>
              </w:rPr>
            </w:pPr>
            <w:r>
              <w:rPr>
                <w:rFonts w:hint="eastAsia" w:ascii="Times New Roman" w:hAnsi="Times New Roman" w:eastAsia="宋体" w:cs="Times New Roman"/>
                <w:color w:val="000000"/>
                <w:kern w:val="0"/>
                <w:sz w:val="22"/>
                <w:szCs w:val="20"/>
              </w:rPr>
              <w:t>1</w:t>
            </w:r>
            <w:r>
              <w:rPr>
                <w:rFonts w:hint="default" w:ascii="Times New Roman" w:hAnsi="Times New Roman" w:eastAsia="宋体" w:cs="Times New Roman"/>
                <w:color w:val="000000"/>
                <w:kern w:val="0"/>
                <w:sz w:val="22"/>
                <w:szCs w:val="20"/>
              </w:rPr>
              <w:t>4.21</w:t>
            </w:r>
          </w:p>
        </w:tc>
        <w:tc>
          <w:tcPr>
            <w:tcW w:w="538" w:type="pct"/>
            <w:tcBorders>
              <w:top w:val="nil"/>
              <w:left w:val="nil"/>
              <w:bottom w:val="single" w:color="auto" w:sz="4" w:space="0"/>
              <w:right w:val="nil"/>
            </w:tcBorders>
            <w:shd w:val="clear" w:color="auto" w:fill="auto"/>
            <w:vAlign w:val="center"/>
          </w:tcPr>
          <w:p w14:paraId="79AC663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宋体" w:cs="Times New Roman"/>
                <w:color w:val="000000"/>
                <w:kern w:val="0"/>
                <w:sz w:val="22"/>
                <w:szCs w:val="20"/>
              </w:rPr>
            </w:pPr>
            <w:r>
              <w:rPr>
                <w:rFonts w:hint="eastAsia" w:ascii="Times New Roman" w:hAnsi="Times New Roman" w:eastAsia="宋体" w:cs="Times New Roman"/>
                <w:color w:val="000000"/>
                <w:kern w:val="0"/>
                <w:sz w:val="22"/>
                <w:szCs w:val="20"/>
              </w:rPr>
              <w:t>1</w:t>
            </w:r>
            <w:r>
              <w:rPr>
                <w:rFonts w:hint="default" w:ascii="Times New Roman" w:hAnsi="Times New Roman" w:eastAsia="宋体" w:cs="Times New Roman"/>
                <w:color w:val="000000"/>
                <w:kern w:val="0"/>
                <w:sz w:val="22"/>
                <w:szCs w:val="20"/>
              </w:rPr>
              <w:t>.76</w:t>
            </w:r>
          </w:p>
        </w:tc>
      </w:tr>
      <w:tr w14:paraId="755651ED">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37" w:type="pct"/>
            <w:vMerge w:val="continue"/>
            <w:tcBorders>
              <w:left w:val="nil"/>
              <w:bottom w:val="single" w:color="auto" w:sz="4" w:space="0"/>
              <w:right w:val="nil"/>
            </w:tcBorders>
            <w:vAlign w:val="center"/>
          </w:tcPr>
          <w:p w14:paraId="73C8C44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0" w:type="pct"/>
            <w:tcBorders>
              <w:top w:val="single" w:color="auto" w:sz="4" w:space="0"/>
              <w:left w:val="nil"/>
              <w:bottom w:val="single" w:color="auto" w:sz="4" w:space="0"/>
              <w:right w:val="nil"/>
            </w:tcBorders>
            <w:vAlign w:val="center"/>
          </w:tcPr>
          <w:p w14:paraId="781DBF6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3" w:type="pct"/>
            <w:tcBorders>
              <w:top w:val="single" w:color="auto" w:sz="4" w:space="0"/>
              <w:left w:val="nil"/>
              <w:bottom w:val="single" w:color="auto" w:sz="4" w:space="0"/>
              <w:right w:val="nil"/>
            </w:tcBorders>
            <w:vAlign w:val="center"/>
          </w:tcPr>
          <w:p w14:paraId="284427C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合计</w:t>
            </w:r>
          </w:p>
        </w:tc>
        <w:tc>
          <w:tcPr>
            <w:tcW w:w="426" w:type="pct"/>
            <w:tcBorders>
              <w:top w:val="single" w:color="auto" w:sz="4" w:space="0"/>
              <w:left w:val="nil"/>
              <w:bottom w:val="single" w:color="auto" w:sz="4" w:space="0"/>
              <w:right w:val="nil"/>
            </w:tcBorders>
            <w:vAlign w:val="center"/>
          </w:tcPr>
          <w:p w14:paraId="59B7165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551" w:type="pct"/>
            <w:tcBorders>
              <w:top w:val="single" w:color="auto" w:sz="4" w:space="0"/>
              <w:left w:val="nil"/>
              <w:bottom w:val="single" w:color="auto" w:sz="4" w:space="0"/>
              <w:right w:val="nil"/>
            </w:tcBorders>
            <w:vAlign w:val="center"/>
          </w:tcPr>
          <w:p w14:paraId="5FE217D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80</w:t>
            </w:r>
          </w:p>
        </w:tc>
        <w:tc>
          <w:tcPr>
            <w:tcW w:w="552" w:type="pct"/>
            <w:tcBorders>
              <w:top w:val="single" w:color="auto" w:sz="4" w:space="0"/>
              <w:left w:val="nil"/>
              <w:bottom w:val="single" w:color="auto" w:sz="4" w:space="0"/>
              <w:right w:val="nil"/>
            </w:tcBorders>
            <w:vAlign w:val="center"/>
          </w:tcPr>
          <w:p w14:paraId="7FBAAC4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6</w:t>
            </w:r>
            <w:r>
              <w:rPr>
                <w:rFonts w:hint="default" w:ascii="Times New Roman" w:hAnsi="Times New Roman" w:eastAsia="仿宋" w:cs="Times New Roman"/>
                <w:kern w:val="0"/>
                <w:sz w:val="22"/>
                <w:szCs w:val="20"/>
              </w:rPr>
              <w:t>0.06</w:t>
            </w:r>
          </w:p>
        </w:tc>
        <w:tc>
          <w:tcPr>
            <w:tcW w:w="84" w:type="pct"/>
            <w:tcBorders>
              <w:top w:val="single" w:color="auto" w:sz="4" w:space="0"/>
              <w:left w:val="nil"/>
              <w:bottom w:val="single" w:color="auto" w:sz="4" w:space="0"/>
              <w:right w:val="nil"/>
            </w:tcBorders>
            <w:vAlign w:val="center"/>
          </w:tcPr>
          <w:p w14:paraId="37706A6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509" w:type="pct"/>
            <w:tcBorders>
              <w:top w:val="single" w:color="auto" w:sz="4" w:space="0"/>
              <w:left w:val="nil"/>
              <w:bottom w:val="single" w:color="auto" w:sz="4" w:space="0"/>
              <w:right w:val="nil"/>
            </w:tcBorders>
            <w:vAlign w:val="center"/>
          </w:tcPr>
          <w:p w14:paraId="6EAEAAE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80</w:t>
            </w:r>
          </w:p>
        </w:tc>
        <w:tc>
          <w:tcPr>
            <w:tcW w:w="594" w:type="pct"/>
            <w:tcBorders>
              <w:top w:val="single" w:color="auto" w:sz="4" w:space="0"/>
              <w:left w:val="nil"/>
              <w:bottom w:val="single" w:color="auto" w:sz="4" w:space="0"/>
              <w:right w:val="nil"/>
            </w:tcBorders>
            <w:vAlign w:val="center"/>
          </w:tcPr>
          <w:p w14:paraId="3DDEAC8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6</w:t>
            </w:r>
            <w:r>
              <w:rPr>
                <w:rFonts w:hint="default" w:ascii="Times New Roman" w:hAnsi="Times New Roman" w:eastAsia="仿宋" w:cs="Times New Roman"/>
                <w:kern w:val="0"/>
                <w:sz w:val="22"/>
                <w:szCs w:val="20"/>
              </w:rPr>
              <w:t>1.60</w:t>
            </w:r>
          </w:p>
        </w:tc>
        <w:tc>
          <w:tcPr>
            <w:tcW w:w="110" w:type="pct"/>
            <w:tcBorders>
              <w:top w:val="single" w:color="auto" w:sz="4" w:space="0"/>
              <w:left w:val="nil"/>
              <w:bottom w:val="single" w:color="auto" w:sz="4" w:space="0"/>
              <w:right w:val="nil"/>
            </w:tcBorders>
            <w:vAlign w:val="center"/>
          </w:tcPr>
          <w:p w14:paraId="228D2D1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50" w:type="pct"/>
            <w:tcBorders>
              <w:top w:val="single" w:color="auto" w:sz="4" w:space="0"/>
              <w:left w:val="nil"/>
              <w:bottom w:val="single" w:color="auto" w:sz="4" w:space="0"/>
              <w:right w:val="nil"/>
            </w:tcBorders>
            <w:shd w:val="clear" w:color="auto" w:fill="auto"/>
            <w:vAlign w:val="center"/>
          </w:tcPr>
          <w:p w14:paraId="1D072C0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宋体" w:cs="Times New Roman"/>
                <w:color w:val="000000"/>
                <w:kern w:val="0"/>
                <w:sz w:val="22"/>
                <w:szCs w:val="20"/>
              </w:rPr>
            </w:pPr>
            <w:r>
              <w:rPr>
                <w:rFonts w:hint="eastAsia" w:ascii="Times New Roman" w:hAnsi="Times New Roman" w:eastAsia="宋体" w:cs="Times New Roman"/>
                <w:color w:val="000000"/>
                <w:kern w:val="0"/>
                <w:sz w:val="22"/>
                <w:szCs w:val="20"/>
              </w:rPr>
              <w:t>-</w:t>
            </w:r>
            <w:r>
              <w:rPr>
                <w:rFonts w:hint="default" w:ascii="Times New Roman" w:hAnsi="Times New Roman" w:eastAsia="宋体" w:cs="Times New Roman"/>
                <w:color w:val="000000"/>
                <w:kern w:val="0"/>
                <w:sz w:val="22"/>
                <w:szCs w:val="20"/>
              </w:rPr>
              <w:t>1.54</w:t>
            </w:r>
          </w:p>
        </w:tc>
        <w:tc>
          <w:tcPr>
            <w:tcW w:w="538" w:type="pct"/>
            <w:tcBorders>
              <w:top w:val="single" w:color="auto" w:sz="4" w:space="0"/>
              <w:left w:val="nil"/>
              <w:bottom w:val="single" w:color="auto" w:sz="4" w:space="0"/>
              <w:right w:val="nil"/>
            </w:tcBorders>
            <w:shd w:val="clear" w:color="auto" w:fill="auto"/>
            <w:vAlign w:val="center"/>
          </w:tcPr>
          <w:p w14:paraId="373131F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宋体" w:cs="Times New Roman"/>
                <w:color w:val="000000"/>
                <w:kern w:val="0"/>
                <w:sz w:val="22"/>
                <w:szCs w:val="20"/>
              </w:rPr>
            </w:pPr>
            <w:r>
              <w:rPr>
                <w:rFonts w:hint="eastAsia" w:ascii="Times New Roman" w:hAnsi="Times New Roman" w:eastAsia="宋体" w:cs="Times New Roman"/>
                <w:color w:val="000000"/>
                <w:kern w:val="0"/>
                <w:sz w:val="22"/>
                <w:szCs w:val="20"/>
              </w:rPr>
              <w:t>0</w:t>
            </w:r>
            <w:r>
              <w:rPr>
                <w:rFonts w:hint="default" w:ascii="Times New Roman" w:hAnsi="Times New Roman" w:eastAsia="宋体" w:cs="Times New Roman"/>
                <w:color w:val="000000"/>
                <w:kern w:val="0"/>
                <w:sz w:val="22"/>
                <w:szCs w:val="20"/>
              </w:rPr>
              <w:t>.97</w:t>
            </w:r>
          </w:p>
        </w:tc>
      </w:tr>
      <w:tr w14:paraId="08FFB141">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37" w:type="pct"/>
            <w:vMerge w:val="restart"/>
            <w:tcBorders>
              <w:top w:val="single" w:color="auto" w:sz="4" w:space="0"/>
              <w:left w:val="nil"/>
              <w:bottom w:val="single" w:color="auto" w:sz="4" w:space="0"/>
              <w:right w:val="nil"/>
            </w:tcBorders>
            <w:vAlign w:val="center"/>
          </w:tcPr>
          <w:p w14:paraId="0B91EDB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冬季</w:t>
            </w:r>
          </w:p>
        </w:tc>
        <w:tc>
          <w:tcPr>
            <w:tcW w:w="420" w:type="pct"/>
            <w:vMerge w:val="restart"/>
            <w:tcBorders>
              <w:top w:val="single" w:color="auto" w:sz="4" w:space="0"/>
              <w:left w:val="nil"/>
              <w:bottom w:val="single" w:color="auto" w:sz="4" w:space="0"/>
              <w:right w:val="nil"/>
            </w:tcBorders>
            <w:vAlign w:val="center"/>
          </w:tcPr>
          <w:p w14:paraId="7858EEE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上午</w:t>
            </w:r>
          </w:p>
        </w:tc>
        <w:tc>
          <w:tcPr>
            <w:tcW w:w="423" w:type="pct"/>
            <w:vMerge w:val="restart"/>
            <w:tcBorders>
              <w:top w:val="single" w:color="auto" w:sz="4" w:space="0"/>
              <w:left w:val="nil"/>
              <w:bottom w:val="nil"/>
              <w:right w:val="nil"/>
            </w:tcBorders>
            <w:vAlign w:val="center"/>
          </w:tcPr>
          <w:p w14:paraId="06D2E07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站厅</w:t>
            </w:r>
          </w:p>
        </w:tc>
        <w:tc>
          <w:tcPr>
            <w:tcW w:w="426" w:type="pct"/>
            <w:tcBorders>
              <w:top w:val="single" w:color="auto" w:sz="4" w:space="0"/>
              <w:left w:val="nil"/>
              <w:bottom w:val="nil"/>
              <w:right w:val="nil"/>
            </w:tcBorders>
            <w:vAlign w:val="center"/>
          </w:tcPr>
          <w:p w14:paraId="62F97A6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w:t>
            </w:r>
          </w:p>
        </w:tc>
        <w:tc>
          <w:tcPr>
            <w:tcW w:w="551" w:type="pct"/>
            <w:tcBorders>
              <w:top w:val="single" w:color="auto" w:sz="4" w:space="0"/>
              <w:left w:val="nil"/>
              <w:bottom w:val="nil"/>
              <w:right w:val="nil"/>
            </w:tcBorders>
            <w:vAlign w:val="center"/>
          </w:tcPr>
          <w:p w14:paraId="17D9F7C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52" w:type="pct"/>
            <w:tcBorders>
              <w:top w:val="single" w:color="auto" w:sz="4" w:space="0"/>
              <w:left w:val="nil"/>
              <w:bottom w:val="nil"/>
              <w:right w:val="nil"/>
            </w:tcBorders>
            <w:vAlign w:val="center"/>
          </w:tcPr>
          <w:p w14:paraId="200404E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26.50</w:t>
            </w:r>
          </w:p>
        </w:tc>
        <w:tc>
          <w:tcPr>
            <w:tcW w:w="84" w:type="pct"/>
            <w:tcBorders>
              <w:top w:val="single" w:color="auto" w:sz="4" w:space="0"/>
              <w:left w:val="nil"/>
              <w:bottom w:val="nil"/>
              <w:right w:val="nil"/>
            </w:tcBorders>
            <w:vAlign w:val="center"/>
          </w:tcPr>
          <w:p w14:paraId="553E04A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509" w:type="pct"/>
            <w:tcBorders>
              <w:top w:val="single" w:color="auto" w:sz="4" w:space="0"/>
              <w:left w:val="nil"/>
              <w:bottom w:val="nil"/>
              <w:right w:val="nil"/>
            </w:tcBorders>
            <w:vAlign w:val="center"/>
          </w:tcPr>
          <w:p w14:paraId="4745BE4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94" w:type="pct"/>
            <w:tcBorders>
              <w:top w:val="single" w:color="auto" w:sz="4" w:space="0"/>
              <w:left w:val="nil"/>
              <w:bottom w:val="nil"/>
              <w:right w:val="nil"/>
            </w:tcBorders>
            <w:vAlign w:val="center"/>
          </w:tcPr>
          <w:p w14:paraId="59A29A4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29.33</w:t>
            </w:r>
          </w:p>
        </w:tc>
        <w:tc>
          <w:tcPr>
            <w:tcW w:w="110" w:type="pct"/>
            <w:tcBorders>
              <w:top w:val="single" w:color="auto" w:sz="4" w:space="0"/>
              <w:left w:val="nil"/>
              <w:bottom w:val="nil"/>
              <w:right w:val="nil"/>
            </w:tcBorders>
            <w:vAlign w:val="center"/>
          </w:tcPr>
          <w:p w14:paraId="4E05EE8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50" w:type="pct"/>
            <w:tcBorders>
              <w:top w:val="single" w:color="auto" w:sz="4" w:space="0"/>
              <w:left w:val="nil"/>
              <w:bottom w:val="nil"/>
              <w:right w:val="nil"/>
            </w:tcBorders>
            <w:shd w:val="clear" w:color="auto" w:fill="auto"/>
            <w:vAlign w:val="center"/>
          </w:tcPr>
          <w:p w14:paraId="549DD07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宋体" w:cs="Times New Roman"/>
                <w:color w:val="000000"/>
                <w:kern w:val="0"/>
                <w:sz w:val="22"/>
                <w:szCs w:val="20"/>
              </w:rPr>
              <w:t>-2.83</w:t>
            </w:r>
          </w:p>
        </w:tc>
        <w:tc>
          <w:tcPr>
            <w:tcW w:w="538" w:type="pct"/>
            <w:tcBorders>
              <w:top w:val="single" w:color="auto" w:sz="4" w:space="0"/>
              <w:left w:val="nil"/>
              <w:bottom w:val="nil"/>
              <w:right w:val="nil"/>
            </w:tcBorders>
            <w:shd w:val="clear" w:color="auto" w:fill="auto"/>
            <w:vAlign w:val="center"/>
          </w:tcPr>
          <w:p w14:paraId="45527FD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宋体" w:cs="Times New Roman"/>
                <w:color w:val="000000"/>
                <w:kern w:val="0"/>
                <w:sz w:val="22"/>
                <w:szCs w:val="20"/>
              </w:rPr>
              <w:t>0.90</w:t>
            </w:r>
          </w:p>
        </w:tc>
      </w:tr>
      <w:tr w14:paraId="775C926C">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37" w:type="pct"/>
            <w:vMerge w:val="continue"/>
            <w:tcBorders>
              <w:top w:val="nil"/>
              <w:left w:val="nil"/>
              <w:bottom w:val="single" w:color="auto" w:sz="4" w:space="0"/>
              <w:right w:val="nil"/>
            </w:tcBorders>
            <w:vAlign w:val="center"/>
          </w:tcPr>
          <w:p w14:paraId="543FC30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0" w:type="pct"/>
            <w:vMerge w:val="continue"/>
            <w:tcBorders>
              <w:top w:val="nil"/>
              <w:left w:val="nil"/>
              <w:bottom w:val="single" w:color="auto" w:sz="4" w:space="0"/>
              <w:right w:val="nil"/>
            </w:tcBorders>
            <w:vAlign w:val="center"/>
          </w:tcPr>
          <w:p w14:paraId="2D2A017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3" w:type="pct"/>
            <w:vMerge w:val="continue"/>
            <w:tcBorders>
              <w:top w:val="single" w:color="auto" w:sz="4" w:space="0"/>
              <w:left w:val="nil"/>
              <w:bottom w:val="nil"/>
              <w:right w:val="nil"/>
            </w:tcBorders>
            <w:vAlign w:val="center"/>
          </w:tcPr>
          <w:p w14:paraId="3F8814B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6" w:type="pct"/>
            <w:tcBorders>
              <w:top w:val="nil"/>
              <w:left w:val="nil"/>
              <w:bottom w:val="nil"/>
              <w:right w:val="nil"/>
            </w:tcBorders>
            <w:vAlign w:val="center"/>
          </w:tcPr>
          <w:p w14:paraId="628F976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2</w:t>
            </w:r>
          </w:p>
        </w:tc>
        <w:tc>
          <w:tcPr>
            <w:tcW w:w="551" w:type="pct"/>
            <w:tcBorders>
              <w:top w:val="nil"/>
              <w:left w:val="nil"/>
              <w:bottom w:val="nil"/>
              <w:right w:val="nil"/>
            </w:tcBorders>
            <w:vAlign w:val="center"/>
          </w:tcPr>
          <w:p w14:paraId="39B146D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52" w:type="pct"/>
            <w:tcBorders>
              <w:top w:val="nil"/>
              <w:left w:val="nil"/>
              <w:bottom w:val="nil"/>
              <w:right w:val="nil"/>
            </w:tcBorders>
            <w:vAlign w:val="center"/>
          </w:tcPr>
          <w:p w14:paraId="60F7141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25.08</w:t>
            </w:r>
          </w:p>
        </w:tc>
        <w:tc>
          <w:tcPr>
            <w:tcW w:w="84" w:type="pct"/>
            <w:tcBorders>
              <w:top w:val="nil"/>
              <w:left w:val="nil"/>
              <w:bottom w:val="nil"/>
              <w:right w:val="nil"/>
            </w:tcBorders>
            <w:vAlign w:val="center"/>
          </w:tcPr>
          <w:p w14:paraId="01CBD2B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509" w:type="pct"/>
            <w:tcBorders>
              <w:top w:val="nil"/>
              <w:left w:val="nil"/>
              <w:bottom w:val="nil"/>
              <w:right w:val="nil"/>
            </w:tcBorders>
            <w:vAlign w:val="center"/>
          </w:tcPr>
          <w:p w14:paraId="035E733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94" w:type="pct"/>
            <w:tcBorders>
              <w:top w:val="nil"/>
              <w:left w:val="nil"/>
              <w:bottom w:val="nil"/>
              <w:right w:val="nil"/>
            </w:tcBorders>
            <w:vAlign w:val="center"/>
          </w:tcPr>
          <w:p w14:paraId="5976F78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29.06</w:t>
            </w:r>
          </w:p>
        </w:tc>
        <w:tc>
          <w:tcPr>
            <w:tcW w:w="110" w:type="pct"/>
            <w:tcBorders>
              <w:top w:val="nil"/>
              <w:left w:val="nil"/>
              <w:bottom w:val="nil"/>
              <w:right w:val="nil"/>
            </w:tcBorders>
            <w:vAlign w:val="center"/>
          </w:tcPr>
          <w:p w14:paraId="44039C4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50" w:type="pct"/>
            <w:tcBorders>
              <w:top w:val="nil"/>
              <w:left w:val="nil"/>
              <w:bottom w:val="nil"/>
              <w:right w:val="nil"/>
            </w:tcBorders>
            <w:shd w:val="clear" w:color="auto" w:fill="auto"/>
            <w:vAlign w:val="center"/>
          </w:tcPr>
          <w:p w14:paraId="598F25F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宋体" w:cs="Times New Roman"/>
                <w:color w:val="000000"/>
                <w:kern w:val="0"/>
                <w:sz w:val="22"/>
                <w:szCs w:val="20"/>
              </w:rPr>
              <w:t>-3.98</w:t>
            </w:r>
          </w:p>
        </w:tc>
        <w:tc>
          <w:tcPr>
            <w:tcW w:w="538" w:type="pct"/>
            <w:tcBorders>
              <w:top w:val="nil"/>
              <w:left w:val="nil"/>
              <w:bottom w:val="nil"/>
              <w:right w:val="nil"/>
            </w:tcBorders>
            <w:shd w:val="clear" w:color="auto" w:fill="auto"/>
            <w:vAlign w:val="center"/>
          </w:tcPr>
          <w:p w14:paraId="63B023D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宋体" w:cs="Times New Roman"/>
                <w:color w:val="000000"/>
                <w:kern w:val="0"/>
                <w:sz w:val="22"/>
                <w:szCs w:val="20"/>
              </w:rPr>
              <w:t>0.86</w:t>
            </w:r>
          </w:p>
        </w:tc>
      </w:tr>
      <w:tr w14:paraId="772BFF5F">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37" w:type="pct"/>
            <w:vMerge w:val="continue"/>
            <w:tcBorders>
              <w:top w:val="nil"/>
              <w:left w:val="nil"/>
              <w:bottom w:val="single" w:color="auto" w:sz="4" w:space="0"/>
              <w:right w:val="nil"/>
            </w:tcBorders>
            <w:vAlign w:val="center"/>
          </w:tcPr>
          <w:p w14:paraId="356A41D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0" w:type="pct"/>
            <w:vMerge w:val="continue"/>
            <w:tcBorders>
              <w:top w:val="nil"/>
              <w:left w:val="nil"/>
              <w:bottom w:val="single" w:color="auto" w:sz="4" w:space="0"/>
              <w:right w:val="nil"/>
            </w:tcBorders>
            <w:vAlign w:val="center"/>
          </w:tcPr>
          <w:p w14:paraId="486C40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3" w:type="pct"/>
            <w:vMerge w:val="restart"/>
            <w:tcBorders>
              <w:top w:val="nil"/>
              <w:left w:val="nil"/>
              <w:bottom w:val="single" w:color="auto" w:sz="4" w:space="0"/>
              <w:right w:val="nil"/>
            </w:tcBorders>
            <w:vAlign w:val="center"/>
          </w:tcPr>
          <w:p w14:paraId="7C04896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站台</w:t>
            </w:r>
          </w:p>
        </w:tc>
        <w:tc>
          <w:tcPr>
            <w:tcW w:w="426" w:type="pct"/>
            <w:tcBorders>
              <w:top w:val="nil"/>
              <w:left w:val="nil"/>
              <w:bottom w:val="nil"/>
              <w:right w:val="nil"/>
            </w:tcBorders>
            <w:vAlign w:val="center"/>
          </w:tcPr>
          <w:p w14:paraId="55195B6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w:t>
            </w:r>
          </w:p>
        </w:tc>
        <w:tc>
          <w:tcPr>
            <w:tcW w:w="551" w:type="pct"/>
            <w:tcBorders>
              <w:top w:val="nil"/>
              <w:left w:val="nil"/>
              <w:bottom w:val="nil"/>
              <w:right w:val="nil"/>
            </w:tcBorders>
            <w:vAlign w:val="center"/>
          </w:tcPr>
          <w:p w14:paraId="48D3CCB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52" w:type="pct"/>
            <w:tcBorders>
              <w:top w:val="nil"/>
              <w:left w:val="nil"/>
              <w:bottom w:val="nil"/>
              <w:right w:val="nil"/>
            </w:tcBorders>
            <w:vAlign w:val="center"/>
          </w:tcPr>
          <w:p w14:paraId="00625E7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25.09</w:t>
            </w:r>
          </w:p>
        </w:tc>
        <w:tc>
          <w:tcPr>
            <w:tcW w:w="84" w:type="pct"/>
            <w:tcBorders>
              <w:top w:val="nil"/>
              <w:left w:val="nil"/>
              <w:bottom w:val="nil"/>
              <w:right w:val="nil"/>
            </w:tcBorders>
            <w:vAlign w:val="center"/>
          </w:tcPr>
          <w:p w14:paraId="58CE624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509" w:type="pct"/>
            <w:tcBorders>
              <w:top w:val="nil"/>
              <w:left w:val="nil"/>
              <w:bottom w:val="nil"/>
              <w:right w:val="nil"/>
            </w:tcBorders>
            <w:vAlign w:val="center"/>
          </w:tcPr>
          <w:p w14:paraId="009D2B5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94" w:type="pct"/>
            <w:tcBorders>
              <w:top w:val="nil"/>
              <w:left w:val="nil"/>
              <w:bottom w:val="nil"/>
              <w:right w:val="nil"/>
            </w:tcBorders>
            <w:vAlign w:val="center"/>
          </w:tcPr>
          <w:p w14:paraId="28947FE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34.02</w:t>
            </w:r>
          </w:p>
        </w:tc>
        <w:tc>
          <w:tcPr>
            <w:tcW w:w="110" w:type="pct"/>
            <w:tcBorders>
              <w:top w:val="nil"/>
              <w:left w:val="nil"/>
              <w:bottom w:val="nil"/>
              <w:right w:val="nil"/>
            </w:tcBorders>
            <w:vAlign w:val="center"/>
          </w:tcPr>
          <w:p w14:paraId="63FB657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50" w:type="pct"/>
            <w:tcBorders>
              <w:top w:val="nil"/>
              <w:left w:val="nil"/>
              <w:bottom w:val="nil"/>
              <w:right w:val="nil"/>
            </w:tcBorders>
            <w:shd w:val="clear" w:color="auto" w:fill="auto"/>
            <w:vAlign w:val="center"/>
          </w:tcPr>
          <w:p w14:paraId="3E711D9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宋体" w:cs="Times New Roman"/>
                <w:color w:val="000000"/>
                <w:kern w:val="0"/>
                <w:sz w:val="22"/>
                <w:szCs w:val="20"/>
              </w:rPr>
              <w:t>-8.93</w:t>
            </w:r>
          </w:p>
        </w:tc>
        <w:tc>
          <w:tcPr>
            <w:tcW w:w="538" w:type="pct"/>
            <w:tcBorders>
              <w:top w:val="nil"/>
              <w:left w:val="nil"/>
              <w:bottom w:val="nil"/>
              <w:right w:val="nil"/>
            </w:tcBorders>
            <w:shd w:val="clear" w:color="auto" w:fill="auto"/>
            <w:vAlign w:val="center"/>
          </w:tcPr>
          <w:p w14:paraId="14896D1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宋体" w:cs="Times New Roman"/>
                <w:color w:val="000000"/>
                <w:kern w:val="0"/>
                <w:sz w:val="22"/>
                <w:szCs w:val="20"/>
              </w:rPr>
              <w:t>0.74</w:t>
            </w:r>
          </w:p>
        </w:tc>
      </w:tr>
      <w:tr w14:paraId="7146B8B3">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37" w:type="pct"/>
            <w:vMerge w:val="continue"/>
            <w:tcBorders>
              <w:top w:val="nil"/>
              <w:left w:val="nil"/>
              <w:bottom w:val="single" w:color="auto" w:sz="4" w:space="0"/>
              <w:right w:val="nil"/>
            </w:tcBorders>
            <w:vAlign w:val="center"/>
          </w:tcPr>
          <w:p w14:paraId="6DF0D9C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0" w:type="pct"/>
            <w:vMerge w:val="continue"/>
            <w:tcBorders>
              <w:top w:val="nil"/>
              <w:left w:val="nil"/>
              <w:bottom w:val="single" w:color="auto" w:sz="4" w:space="0"/>
              <w:right w:val="nil"/>
            </w:tcBorders>
            <w:vAlign w:val="center"/>
          </w:tcPr>
          <w:p w14:paraId="4BE02B5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3" w:type="pct"/>
            <w:vMerge w:val="continue"/>
            <w:tcBorders>
              <w:top w:val="nil"/>
              <w:left w:val="nil"/>
              <w:bottom w:val="single" w:color="auto" w:sz="4" w:space="0"/>
              <w:right w:val="nil"/>
            </w:tcBorders>
            <w:vAlign w:val="center"/>
          </w:tcPr>
          <w:p w14:paraId="71ECA14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6" w:type="pct"/>
            <w:tcBorders>
              <w:top w:val="nil"/>
              <w:left w:val="nil"/>
              <w:bottom w:val="single" w:color="auto" w:sz="6" w:space="0"/>
              <w:right w:val="nil"/>
            </w:tcBorders>
            <w:vAlign w:val="center"/>
          </w:tcPr>
          <w:p w14:paraId="1DF3B20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2</w:t>
            </w:r>
          </w:p>
        </w:tc>
        <w:tc>
          <w:tcPr>
            <w:tcW w:w="551" w:type="pct"/>
            <w:tcBorders>
              <w:top w:val="nil"/>
              <w:left w:val="nil"/>
              <w:bottom w:val="single" w:color="auto" w:sz="6" w:space="0"/>
              <w:right w:val="nil"/>
            </w:tcBorders>
            <w:vAlign w:val="center"/>
          </w:tcPr>
          <w:p w14:paraId="290187F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52" w:type="pct"/>
            <w:tcBorders>
              <w:top w:val="nil"/>
              <w:left w:val="nil"/>
              <w:bottom w:val="single" w:color="auto" w:sz="4" w:space="0"/>
              <w:right w:val="nil"/>
            </w:tcBorders>
            <w:vAlign w:val="center"/>
          </w:tcPr>
          <w:p w14:paraId="3ACADFC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31.81</w:t>
            </w:r>
          </w:p>
        </w:tc>
        <w:tc>
          <w:tcPr>
            <w:tcW w:w="84" w:type="pct"/>
            <w:tcBorders>
              <w:top w:val="nil"/>
              <w:left w:val="nil"/>
              <w:bottom w:val="single" w:color="auto" w:sz="4" w:space="0"/>
              <w:right w:val="nil"/>
            </w:tcBorders>
            <w:vAlign w:val="center"/>
          </w:tcPr>
          <w:p w14:paraId="13F6F01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509" w:type="pct"/>
            <w:tcBorders>
              <w:top w:val="nil"/>
              <w:left w:val="nil"/>
              <w:bottom w:val="single" w:color="auto" w:sz="4" w:space="0"/>
              <w:right w:val="nil"/>
            </w:tcBorders>
            <w:vAlign w:val="center"/>
          </w:tcPr>
          <w:p w14:paraId="036486C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94" w:type="pct"/>
            <w:tcBorders>
              <w:top w:val="nil"/>
              <w:left w:val="nil"/>
              <w:bottom w:val="single" w:color="auto" w:sz="4" w:space="0"/>
              <w:right w:val="nil"/>
            </w:tcBorders>
            <w:vAlign w:val="center"/>
          </w:tcPr>
          <w:p w14:paraId="4294636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39.10</w:t>
            </w:r>
          </w:p>
        </w:tc>
        <w:tc>
          <w:tcPr>
            <w:tcW w:w="110" w:type="pct"/>
            <w:tcBorders>
              <w:top w:val="nil"/>
              <w:left w:val="nil"/>
              <w:bottom w:val="single" w:color="auto" w:sz="6" w:space="0"/>
              <w:right w:val="nil"/>
            </w:tcBorders>
            <w:vAlign w:val="center"/>
          </w:tcPr>
          <w:p w14:paraId="51B5523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50" w:type="pct"/>
            <w:tcBorders>
              <w:top w:val="nil"/>
              <w:left w:val="nil"/>
              <w:bottom w:val="single" w:color="auto" w:sz="4" w:space="0"/>
              <w:right w:val="nil"/>
            </w:tcBorders>
            <w:shd w:val="clear" w:color="auto" w:fill="auto"/>
            <w:vAlign w:val="center"/>
          </w:tcPr>
          <w:p w14:paraId="341FB08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宋体" w:cs="Times New Roman"/>
                <w:color w:val="000000"/>
                <w:kern w:val="0"/>
                <w:sz w:val="22"/>
                <w:szCs w:val="20"/>
              </w:rPr>
              <w:t>-7.29</w:t>
            </w:r>
          </w:p>
        </w:tc>
        <w:tc>
          <w:tcPr>
            <w:tcW w:w="538" w:type="pct"/>
            <w:tcBorders>
              <w:top w:val="nil"/>
              <w:left w:val="nil"/>
              <w:bottom w:val="single" w:color="auto" w:sz="4" w:space="0"/>
              <w:right w:val="nil"/>
            </w:tcBorders>
            <w:shd w:val="clear" w:color="auto" w:fill="auto"/>
            <w:vAlign w:val="center"/>
          </w:tcPr>
          <w:p w14:paraId="3EC39C0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宋体" w:cs="Times New Roman"/>
                <w:color w:val="000000"/>
                <w:kern w:val="0"/>
                <w:sz w:val="22"/>
                <w:szCs w:val="20"/>
              </w:rPr>
              <w:t>0.81</w:t>
            </w:r>
          </w:p>
        </w:tc>
      </w:tr>
      <w:tr w14:paraId="7DE6ED40">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37" w:type="pct"/>
            <w:vMerge w:val="continue"/>
            <w:tcBorders>
              <w:top w:val="nil"/>
              <w:left w:val="nil"/>
              <w:bottom w:val="single" w:color="auto" w:sz="4" w:space="0"/>
              <w:right w:val="nil"/>
            </w:tcBorders>
            <w:vAlign w:val="center"/>
          </w:tcPr>
          <w:p w14:paraId="41288F4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0" w:type="pct"/>
            <w:vMerge w:val="restart"/>
            <w:tcBorders>
              <w:top w:val="single" w:color="auto" w:sz="4" w:space="0"/>
              <w:left w:val="nil"/>
              <w:bottom w:val="nil"/>
              <w:right w:val="nil"/>
            </w:tcBorders>
            <w:vAlign w:val="center"/>
          </w:tcPr>
          <w:p w14:paraId="4C0D987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下午</w:t>
            </w:r>
          </w:p>
        </w:tc>
        <w:tc>
          <w:tcPr>
            <w:tcW w:w="423" w:type="pct"/>
            <w:vMerge w:val="restart"/>
            <w:tcBorders>
              <w:top w:val="single" w:color="auto" w:sz="4" w:space="0"/>
              <w:left w:val="nil"/>
              <w:bottom w:val="nil"/>
              <w:right w:val="nil"/>
            </w:tcBorders>
            <w:vAlign w:val="center"/>
          </w:tcPr>
          <w:p w14:paraId="40A003B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站厅</w:t>
            </w:r>
          </w:p>
        </w:tc>
        <w:tc>
          <w:tcPr>
            <w:tcW w:w="426" w:type="pct"/>
            <w:tcBorders>
              <w:top w:val="single" w:color="auto" w:sz="6" w:space="0"/>
              <w:left w:val="nil"/>
              <w:bottom w:val="nil"/>
              <w:right w:val="nil"/>
            </w:tcBorders>
            <w:vAlign w:val="center"/>
          </w:tcPr>
          <w:p w14:paraId="55BBA3E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w:t>
            </w:r>
          </w:p>
        </w:tc>
        <w:tc>
          <w:tcPr>
            <w:tcW w:w="551" w:type="pct"/>
            <w:tcBorders>
              <w:top w:val="single" w:color="auto" w:sz="6" w:space="0"/>
              <w:left w:val="nil"/>
              <w:bottom w:val="nil"/>
              <w:right w:val="nil"/>
            </w:tcBorders>
            <w:vAlign w:val="center"/>
          </w:tcPr>
          <w:p w14:paraId="1A8BAAA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52" w:type="pct"/>
            <w:tcBorders>
              <w:top w:val="single" w:color="auto" w:sz="4" w:space="0"/>
              <w:left w:val="nil"/>
              <w:bottom w:val="nil"/>
              <w:right w:val="nil"/>
            </w:tcBorders>
            <w:vAlign w:val="center"/>
          </w:tcPr>
          <w:p w14:paraId="7B1E014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24.07</w:t>
            </w:r>
          </w:p>
        </w:tc>
        <w:tc>
          <w:tcPr>
            <w:tcW w:w="84" w:type="pct"/>
            <w:tcBorders>
              <w:top w:val="single" w:color="auto" w:sz="4" w:space="0"/>
              <w:left w:val="nil"/>
              <w:bottom w:val="nil"/>
              <w:right w:val="nil"/>
            </w:tcBorders>
            <w:vAlign w:val="center"/>
          </w:tcPr>
          <w:p w14:paraId="49233D3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509" w:type="pct"/>
            <w:tcBorders>
              <w:top w:val="single" w:color="auto" w:sz="4" w:space="0"/>
              <w:left w:val="nil"/>
              <w:bottom w:val="nil"/>
              <w:right w:val="nil"/>
            </w:tcBorders>
            <w:vAlign w:val="center"/>
          </w:tcPr>
          <w:p w14:paraId="67EFFA6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94" w:type="pct"/>
            <w:tcBorders>
              <w:top w:val="single" w:color="auto" w:sz="4" w:space="0"/>
              <w:left w:val="nil"/>
              <w:bottom w:val="nil"/>
              <w:right w:val="nil"/>
            </w:tcBorders>
            <w:vAlign w:val="center"/>
          </w:tcPr>
          <w:p w14:paraId="7C65838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27.93</w:t>
            </w:r>
          </w:p>
        </w:tc>
        <w:tc>
          <w:tcPr>
            <w:tcW w:w="110" w:type="pct"/>
            <w:tcBorders>
              <w:top w:val="single" w:color="auto" w:sz="6" w:space="0"/>
              <w:left w:val="nil"/>
              <w:bottom w:val="nil"/>
              <w:right w:val="nil"/>
            </w:tcBorders>
            <w:vAlign w:val="center"/>
          </w:tcPr>
          <w:p w14:paraId="5D73AA8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50" w:type="pct"/>
            <w:tcBorders>
              <w:top w:val="single" w:color="auto" w:sz="4" w:space="0"/>
              <w:left w:val="nil"/>
              <w:bottom w:val="nil"/>
              <w:right w:val="nil"/>
            </w:tcBorders>
            <w:shd w:val="clear" w:color="auto" w:fill="auto"/>
            <w:vAlign w:val="center"/>
          </w:tcPr>
          <w:p w14:paraId="3962112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宋体" w:cs="Times New Roman"/>
                <w:color w:val="000000"/>
                <w:kern w:val="0"/>
                <w:sz w:val="22"/>
                <w:szCs w:val="20"/>
              </w:rPr>
              <w:t>-3.86</w:t>
            </w:r>
          </w:p>
        </w:tc>
        <w:tc>
          <w:tcPr>
            <w:tcW w:w="538" w:type="pct"/>
            <w:tcBorders>
              <w:top w:val="single" w:color="auto" w:sz="4" w:space="0"/>
              <w:left w:val="nil"/>
              <w:bottom w:val="nil"/>
              <w:right w:val="nil"/>
            </w:tcBorders>
            <w:shd w:val="clear" w:color="auto" w:fill="auto"/>
            <w:vAlign w:val="center"/>
          </w:tcPr>
          <w:p w14:paraId="0239C92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宋体" w:cs="Times New Roman"/>
                <w:color w:val="000000"/>
                <w:kern w:val="0"/>
                <w:sz w:val="22"/>
                <w:szCs w:val="20"/>
              </w:rPr>
              <w:t>0.86</w:t>
            </w:r>
          </w:p>
        </w:tc>
      </w:tr>
      <w:tr w14:paraId="7112C4B6">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37" w:type="pct"/>
            <w:vMerge w:val="continue"/>
            <w:tcBorders>
              <w:top w:val="nil"/>
              <w:left w:val="nil"/>
              <w:bottom w:val="single" w:color="auto" w:sz="4" w:space="0"/>
              <w:right w:val="nil"/>
            </w:tcBorders>
            <w:vAlign w:val="center"/>
          </w:tcPr>
          <w:p w14:paraId="1F28BBC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0" w:type="pct"/>
            <w:vMerge w:val="continue"/>
            <w:tcBorders>
              <w:top w:val="nil"/>
              <w:left w:val="nil"/>
              <w:bottom w:val="nil"/>
              <w:right w:val="nil"/>
            </w:tcBorders>
            <w:vAlign w:val="center"/>
          </w:tcPr>
          <w:p w14:paraId="78B8475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3" w:type="pct"/>
            <w:vMerge w:val="continue"/>
            <w:tcBorders>
              <w:top w:val="nil"/>
              <w:left w:val="nil"/>
              <w:bottom w:val="nil"/>
              <w:right w:val="nil"/>
            </w:tcBorders>
            <w:vAlign w:val="center"/>
          </w:tcPr>
          <w:p w14:paraId="5096899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6" w:type="pct"/>
            <w:tcBorders>
              <w:top w:val="nil"/>
              <w:left w:val="nil"/>
              <w:bottom w:val="nil"/>
              <w:right w:val="nil"/>
            </w:tcBorders>
            <w:vAlign w:val="center"/>
          </w:tcPr>
          <w:p w14:paraId="3A2A02C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2</w:t>
            </w:r>
          </w:p>
        </w:tc>
        <w:tc>
          <w:tcPr>
            <w:tcW w:w="551" w:type="pct"/>
            <w:tcBorders>
              <w:top w:val="nil"/>
              <w:left w:val="nil"/>
              <w:bottom w:val="nil"/>
              <w:right w:val="nil"/>
            </w:tcBorders>
            <w:vAlign w:val="center"/>
          </w:tcPr>
          <w:p w14:paraId="78BA909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52" w:type="pct"/>
            <w:tcBorders>
              <w:top w:val="nil"/>
              <w:left w:val="nil"/>
              <w:bottom w:val="nil"/>
              <w:right w:val="nil"/>
            </w:tcBorders>
            <w:vAlign w:val="center"/>
          </w:tcPr>
          <w:p w14:paraId="284914E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27.13</w:t>
            </w:r>
          </w:p>
        </w:tc>
        <w:tc>
          <w:tcPr>
            <w:tcW w:w="84" w:type="pct"/>
            <w:tcBorders>
              <w:top w:val="nil"/>
              <w:left w:val="nil"/>
              <w:bottom w:val="nil"/>
              <w:right w:val="nil"/>
            </w:tcBorders>
            <w:vAlign w:val="center"/>
          </w:tcPr>
          <w:p w14:paraId="16B45A2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509" w:type="pct"/>
            <w:tcBorders>
              <w:top w:val="nil"/>
              <w:left w:val="nil"/>
              <w:bottom w:val="nil"/>
              <w:right w:val="nil"/>
            </w:tcBorders>
            <w:vAlign w:val="center"/>
          </w:tcPr>
          <w:p w14:paraId="1FF381C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94" w:type="pct"/>
            <w:tcBorders>
              <w:top w:val="nil"/>
              <w:left w:val="nil"/>
              <w:bottom w:val="nil"/>
              <w:right w:val="nil"/>
            </w:tcBorders>
            <w:vAlign w:val="center"/>
          </w:tcPr>
          <w:p w14:paraId="5BC59F0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43.19</w:t>
            </w:r>
          </w:p>
        </w:tc>
        <w:tc>
          <w:tcPr>
            <w:tcW w:w="110" w:type="pct"/>
            <w:tcBorders>
              <w:top w:val="nil"/>
              <w:left w:val="nil"/>
              <w:bottom w:val="nil"/>
              <w:right w:val="nil"/>
            </w:tcBorders>
            <w:vAlign w:val="center"/>
          </w:tcPr>
          <w:p w14:paraId="4773C30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50" w:type="pct"/>
            <w:tcBorders>
              <w:top w:val="nil"/>
              <w:left w:val="nil"/>
              <w:bottom w:val="nil"/>
              <w:right w:val="nil"/>
            </w:tcBorders>
            <w:shd w:val="clear" w:color="auto" w:fill="auto"/>
            <w:vAlign w:val="center"/>
          </w:tcPr>
          <w:p w14:paraId="3F0E202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宋体" w:cs="Times New Roman"/>
                <w:color w:val="000000"/>
                <w:kern w:val="0"/>
                <w:sz w:val="22"/>
                <w:szCs w:val="20"/>
              </w:rPr>
              <w:t>-16.06</w:t>
            </w:r>
          </w:p>
        </w:tc>
        <w:tc>
          <w:tcPr>
            <w:tcW w:w="538" w:type="pct"/>
            <w:tcBorders>
              <w:top w:val="nil"/>
              <w:left w:val="nil"/>
              <w:bottom w:val="nil"/>
              <w:right w:val="nil"/>
            </w:tcBorders>
            <w:shd w:val="clear" w:color="auto" w:fill="auto"/>
            <w:vAlign w:val="center"/>
          </w:tcPr>
          <w:p w14:paraId="1BF3BFD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宋体" w:cs="Times New Roman"/>
                <w:color w:val="000000"/>
                <w:kern w:val="0"/>
                <w:sz w:val="22"/>
                <w:szCs w:val="20"/>
              </w:rPr>
              <w:t>0.63</w:t>
            </w:r>
          </w:p>
        </w:tc>
      </w:tr>
      <w:tr w14:paraId="0D50F559">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37" w:type="pct"/>
            <w:vMerge w:val="continue"/>
            <w:tcBorders>
              <w:top w:val="nil"/>
              <w:left w:val="nil"/>
              <w:bottom w:val="single" w:color="auto" w:sz="4" w:space="0"/>
              <w:right w:val="nil"/>
            </w:tcBorders>
            <w:vAlign w:val="center"/>
          </w:tcPr>
          <w:p w14:paraId="781169C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0" w:type="pct"/>
            <w:vMerge w:val="continue"/>
            <w:tcBorders>
              <w:top w:val="nil"/>
              <w:left w:val="nil"/>
              <w:bottom w:val="nil"/>
              <w:right w:val="nil"/>
            </w:tcBorders>
            <w:vAlign w:val="center"/>
          </w:tcPr>
          <w:p w14:paraId="4F132A3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3" w:type="pct"/>
            <w:vMerge w:val="restart"/>
            <w:tcBorders>
              <w:top w:val="nil"/>
              <w:left w:val="nil"/>
              <w:bottom w:val="nil"/>
              <w:right w:val="nil"/>
            </w:tcBorders>
            <w:vAlign w:val="center"/>
          </w:tcPr>
          <w:p w14:paraId="2D46773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站台</w:t>
            </w:r>
          </w:p>
        </w:tc>
        <w:tc>
          <w:tcPr>
            <w:tcW w:w="426" w:type="pct"/>
            <w:tcBorders>
              <w:top w:val="nil"/>
              <w:left w:val="nil"/>
              <w:bottom w:val="nil"/>
              <w:right w:val="nil"/>
            </w:tcBorders>
            <w:vAlign w:val="center"/>
          </w:tcPr>
          <w:p w14:paraId="0359260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w:t>
            </w:r>
          </w:p>
        </w:tc>
        <w:tc>
          <w:tcPr>
            <w:tcW w:w="551" w:type="pct"/>
            <w:tcBorders>
              <w:top w:val="nil"/>
              <w:left w:val="nil"/>
              <w:bottom w:val="nil"/>
              <w:right w:val="nil"/>
            </w:tcBorders>
            <w:vAlign w:val="center"/>
          </w:tcPr>
          <w:p w14:paraId="0E15476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52" w:type="pct"/>
            <w:tcBorders>
              <w:top w:val="nil"/>
              <w:left w:val="nil"/>
              <w:bottom w:val="nil"/>
              <w:right w:val="nil"/>
            </w:tcBorders>
            <w:vAlign w:val="center"/>
          </w:tcPr>
          <w:p w14:paraId="6160A78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22.83</w:t>
            </w:r>
          </w:p>
        </w:tc>
        <w:tc>
          <w:tcPr>
            <w:tcW w:w="84" w:type="pct"/>
            <w:tcBorders>
              <w:top w:val="nil"/>
              <w:left w:val="nil"/>
              <w:bottom w:val="nil"/>
              <w:right w:val="nil"/>
            </w:tcBorders>
            <w:vAlign w:val="center"/>
          </w:tcPr>
          <w:p w14:paraId="5408154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509" w:type="pct"/>
            <w:tcBorders>
              <w:top w:val="nil"/>
              <w:left w:val="nil"/>
              <w:bottom w:val="nil"/>
              <w:right w:val="nil"/>
            </w:tcBorders>
            <w:vAlign w:val="center"/>
          </w:tcPr>
          <w:p w14:paraId="5525FF5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94" w:type="pct"/>
            <w:tcBorders>
              <w:top w:val="nil"/>
              <w:left w:val="nil"/>
              <w:bottom w:val="nil"/>
              <w:right w:val="nil"/>
            </w:tcBorders>
            <w:vAlign w:val="center"/>
          </w:tcPr>
          <w:p w14:paraId="2DC19AA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52.98</w:t>
            </w:r>
          </w:p>
        </w:tc>
        <w:tc>
          <w:tcPr>
            <w:tcW w:w="110" w:type="pct"/>
            <w:tcBorders>
              <w:top w:val="nil"/>
              <w:left w:val="nil"/>
              <w:bottom w:val="nil"/>
              <w:right w:val="nil"/>
            </w:tcBorders>
            <w:vAlign w:val="center"/>
          </w:tcPr>
          <w:p w14:paraId="7757B22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50" w:type="pct"/>
            <w:tcBorders>
              <w:top w:val="nil"/>
              <w:left w:val="nil"/>
              <w:bottom w:val="nil"/>
              <w:right w:val="nil"/>
            </w:tcBorders>
            <w:shd w:val="clear" w:color="auto" w:fill="auto"/>
            <w:vAlign w:val="center"/>
          </w:tcPr>
          <w:p w14:paraId="7A5AF4D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宋体" w:cs="Times New Roman"/>
                <w:color w:val="000000"/>
                <w:kern w:val="0"/>
                <w:sz w:val="22"/>
                <w:szCs w:val="20"/>
              </w:rPr>
              <w:t>-30.15</w:t>
            </w:r>
          </w:p>
        </w:tc>
        <w:tc>
          <w:tcPr>
            <w:tcW w:w="538" w:type="pct"/>
            <w:tcBorders>
              <w:top w:val="nil"/>
              <w:left w:val="nil"/>
              <w:bottom w:val="nil"/>
              <w:right w:val="nil"/>
            </w:tcBorders>
            <w:shd w:val="clear" w:color="auto" w:fill="auto"/>
            <w:vAlign w:val="center"/>
          </w:tcPr>
          <w:p w14:paraId="0E7082A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宋体" w:cs="Times New Roman"/>
                <w:color w:val="000000"/>
                <w:kern w:val="0"/>
                <w:sz w:val="22"/>
                <w:szCs w:val="20"/>
              </w:rPr>
              <w:t>0.43</w:t>
            </w:r>
          </w:p>
        </w:tc>
      </w:tr>
      <w:tr w14:paraId="53DA7EE3">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37" w:type="pct"/>
            <w:vMerge w:val="continue"/>
            <w:tcBorders>
              <w:top w:val="nil"/>
              <w:left w:val="nil"/>
              <w:bottom w:val="single" w:color="auto" w:sz="4" w:space="0"/>
              <w:right w:val="nil"/>
            </w:tcBorders>
            <w:vAlign w:val="center"/>
          </w:tcPr>
          <w:p w14:paraId="75E0FF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0" w:type="pct"/>
            <w:vMerge w:val="continue"/>
            <w:tcBorders>
              <w:top w:val="nil"/>
              <w:left w:val="nil"/>
              <w:bottom w:val="nil"/>
              <w:right w:val="nil"/>
            </w:tcBorders>
            <w:vAlign w:val="center"/>
          </w:tcPr>
          <w:p w14:paraId="53A52D2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3" w:type="pct"/>
            <w:vMerge w:val="continue"/>
            <w:tcBorders>
              <w:top w:val="nil"/>
              <w:left w:val="nil"/>
              <w:bottom w:val="nil"/>
              <w:right w:val="nil"/>
            </w:tcBorders>
            <w:vAlign w:val="center"/>
          </w:tcPr>
          <w:p w14:paraId="02C2EBA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26" w:type="pct"/>
            <w:tcBorders>
              <w:top w:val="nil"/>
              <w:left w:val="nil"/>
              <w:bottom w:val="single" w:color="auto" w:sz="6" w:space="0"/>
              <w:right w:val="nil"/>
            </w:tcBorders>
            <w:vAlign w:val="center"/>
          </w:tcPr>
          <w:p w14:paraId="0AD6D9A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2</w:t>
            </w:r>
          </w:p>
        </w:tc>
        <w:tc>
          <w:tcPr>
            <w:tcW w:w="551" w:type="pct"/>
            <w:tcBorders>
              <w:top w:val="nil"/>
              <w:left w:val="nil"/>
              <w:bottom w:val="single" w:color="auto" w:sz="6" w:space="0"/>
              <w:right w:val="nil"/>
            </w:tcBorders>
            <w:vAlign w:val="center"/>
          </w:tcPr>
          <w:p w14:paraId="6F69BFA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52" w:type="pct"/>
            <w:tcBorders>
              <w:top w:val="nil"/>
              <w:left w:val="nil"/>
              <w:bottom w:val="single" w:color="auto" w:sz="4" w:space="0"/>
              <w:right w:val="nil"/>
            </w:tcBorders>
            <w:vAlign w:val="center"/>
          </w:tcPr>
          <w:p w14:paraId="46EA598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31.52</w:t>
            </w:r>
          </w:p>
        </w:tc>
        <w:tc>
          <w:tcPr>
            <w:tcW w:w="84" w:type="pct"/>
            <w:tcBorders>
              <w:top w:val="nil"/>
              <w:left w:val="nil"/>
              <w:bottom w:val="single" w:color="auto" w:sz="4" w:space="0"/>
              <w:right w:val="nil"/>
            </w:tcBorders>
            <w:vAlign w:val="center"/>
          </w:tcPr>
          <w:p w14:paraId="277961F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509" w:type="pct"/>
            <w:tcBorders>
              <w:top w:val="nil"/>
              <w:left w:val="nil"/>
              <w:bottom w:val="single" w:color="auto" w:sz="4" w:space="0"/>
              <w:right w:val="nil"/>
            </w:tcBorders>
            <w:vAlign w:val="center"/>
          </w:tcPr>
          <w:p w14:paraId="76AF227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10</w:t>
            </w:r>
          </w:p>
        </w:tc>
        <w:tc>
          <w:tcPr>
            <w:tcW w:w="594" w:type="pct"/>
            <w:tcBorders>
              <w:top w:val="nil"/>
              <w:left w:val="nil"/>
              <w:bottom w:val="single" w:color="auto" w:sz="4" w:space="0"/>
              <w:right w:val="nil"/>
            </w:tcBorders>
            <w:vAlign w:val="center"/>
          </w:tcPr>
          <w:p w14:paraId="37CAB0E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39.31</w:t>
            </w:r>
          </w:p>
        </w:tc>
        <w:tc>
          <w:tcPr>
            <w:tcW w:w="110" w:type="pct"/>
            <w:tcBorders>
              <w:top w:val="nil"/>
              <w:left w:val="nil"/>
              <w:bottom w:val="single" w:color="auto" w:sz="6" w:space="0"/>
              <w:right w:val="nil"/>
            </w:tcBorders>
            <w:vAlign w:val="center"/>
          </w:tcPr>
          <w:p w14:paraId="75F1A79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50" w:type="pct"/>
            <w:tcBorders>
              <w:top w:val="nil"/>
              <w:left w:val="nil"/>
              <w:bottom w:val="single" w:color="auto" w:sz="4" w:space="0"/>
              <w:right w:val="nil"/>
            </w:tcBorders>
            <w:shd w:val="clear" w:color="auto" w:fill="auto"/>
            <w:vAlign w:val="center"/>
          </w:tcPr>
          <w:p w14:paraId="52B760F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宋体" w:cs="Times New Roman"/>
                <w:color w:val="000000"/>
                <w:kern w:val="0"/>
                <w:sz w:val="22"/>
                <w:szCs w:val="20"/>
              </w:rPr>
              <w:t>-7.79</w:t>
            </w:r>
          </w:p>
        </w:tc>
        <w:tc>
          <w:tcPr>
            <w:tcW w:w="538" w:type="pct"/>
            <w:tcBorders>
              <w:top w:val="nil"/>
              <w:left w:val="nil"/>
              <w:bottom w:val="single" w:color="auto" w:sz="4" w:space="0"/>
              <w:right w:val="nil"/>
            </w:tcBorders>
            <w:shd w:val="clear" w:color="auto" w:fill="auto"/>
            <w:vAlign w:val="center"/>
          </w:tcPr>
          <w:p w14:paraId="600FA93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宋体" w:cs="Times New Roman"/>
                <w:color w:val="000000"/>
                <w:kern w:val="0"/>
                <w:sz w:val="22"/>
                <w:szCs w:val="20"/>
              </w:rPr>
              <w:t>0.80</w:t>
            </w:r>
          </w:p>
        </w:tc>
      </w:tr>
      <w:tr w14:paraId="433B267D">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37" w:type="pct"/>
            <w:vMerge w:val="continue"/>
            <w:tcBorders>
              <w:top w:val="nil"/>
              <w:left w:val="nil"/>
              <w:bottom w:val="single" w:color="auto" w:sz="4" w:space="0"/>
              <w:right w:val="nil"/>
            </w:tcBorders>
            <w:vAlign w:val="center"/>
          </w:tcPr>
          <w:p w14:paraId="0042AC4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1270" w:type="pct"/>
            <w:gridSpan w:val="3"/>
            <w:tcBorders>
              <w:top w:val="single" w:color="auto" w:sz="6" w:space="0"/>
              <w:left w:val="nil"/>
              <w:bottom w:val="single" w:color="auto" w:sz="6" w:space="0"/>
              <w:right w:val="nil"/>
            </w:tcBorders>
            <w:vAlign w:val="center"/>
          </w:tcPr>
          <w:p w14:paraId="18D6C84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合计</w:t>
            </w:r>
          </w:p>
        </w:tc>
        <w:tc>
          <w:tcPr>
            <w:tcW w:w="551" w:type="pct"/>
            <w:tcBorders>
              <w:top w:val="single" w:color="auto" w:sz="6" w:space="0"/>
              <w:left w:val="nil"/>
              <w:bottom w:val="single" w:color="auto" w:sz="6" w:space="0"/>
              <w:right w:val="nil"/>
            </w:tcBorders>
            <w:vAlign w:val="center"/>
          </w:tcPr>
          <w:p w14:paraId="02CEFC8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80</w:t>
            </w:r>
          </w:p>
        </w:tc>
        <w:tc>
          <w:tcPr>
            <w:tcW w:w="552" w:type="pct"/>
            <w:tcBorders>
              <w:top w:val="single" w:color="auto" w:sz="4" w:space="0"/>
              <w:left w:val="nil"/>
              <w:bottom w:val="single" w:color="auto" w:sz="6" w:space="0"/>
              <w:right w:val="nil"/>
            </w:tcBorders>
            <w:vAlign w:val="center"/>
          </w:tcPr>
          <w:p w14:paraId="59BAA4F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51.39</w:t>
            </w:r>
          </w:p>
        </w:tc>
        <w:tc>
          <w:tcPr>
            <w:tcW w:w="84" w:type="pct"/>
            <w:tcBorders>
              <w:top w:val="single" w:color="auto" w:sz="4" w:space="0"/>
              <w:left w:val="nil"/>
              <w:bottom w:val="single" w:color="auto" w:sz="6" w:space="0"/>
              <w:right w:val="nil"/>
            </w:tcBorders>
            <w:vAlign w:val="center"/>
          </w:tcPr>
          <w:p w14:paraId="685830B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509" w:type="pct"/>
            <w:tcBorders>
              <w:top w:val="single" w:color="auto" w:sz="4" w:space="0"/>
              <w:left w:val="nil"/>
              <w:bottom w:val="single" w:color="auto" w:sz="6" w:space="0"/>
              <w:right w:val="nil"/>
            </w:tcBorders>
            <w:vAlign w:val="center"/>
          </w:tcPr>
          <w:p w14:paraId="1A50F4D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80</w:t>
            </w:r>
          </w:p>
        </w:tc>
        <w:tc>
          <w:tcPr>
            <w:tcW w:w="594" w:type="pct"/>
            <w:tcBorders>
              <w:top w:val="single" w:color="auto" w:sz="4" w:space="0"/>
              <w:left w:val="nil"/>
              <w:bottom w:val="single" w:color="auto" w:sz="6" w:space="0"/>
              <w:right w:val="nil"/>
            </w:tcBorders>
            <w:vAlign w:val="center"/>
          </w:tcPr>
          <w:p w14:paraId="2ECE476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54.76</w:t>
            </w:r>
          </w:p>
        </w:tc>
        <w:tc>
          <w:tcPr>
            <w:tcW w:w="110" w:type="pct"/>
            <w:tcBorders>
              <w:top w:val="single" w:color="auto" w:sz="6" w:space="0"/>
              <w:left w:val="nil"/>
              <w:bottom w:val="single" w:color="auto" w:sz="6" w:space="0"/>
              <w:right w:val="nil"/>
            </w:tcBorders>
            <w:vAlign w:val="center"/>
          </w:tcPr>
          <w:p w14:paraId="3A953B9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p>
        </w:tc>
        <w:tc>
          <w:tcPr>
            <w:tcW w:w="450" w:type="pct"/>
            <w:tcBorders>
              <w:top w:val="single" w:color="auto" w:sz="4" w:space="0"/>
              <w:left w:val="nil"/>
              <w:bottom w:val="single" w:color="auto" w:sz="4" w:space="0"/>
              <w:right w:val="nil"/>
            </w:tcBorders>
            <w:vAlign w:val="center"/>
          </w:tcPr>
          <w:p w14:paraId="0A1AEFA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-3.37</w:t>
            </w:r>
          </w:p>
        </w:tc>
        <w:tc>
          <w:tcPr>
            <w:tcW w:w="538" w:type="pct"/>
            <w:tcBorders>
              <w:top w:val="single" w:color="auto" w:sz="4" w:space="0"/>
              <w:left w:val="nil"/>
              <w:bottom w:val="single" w:color="auto" w:sz="4" w:space="0"/>
              <w:right w:val="nil"/>
            </w:tcBorders>
            <w:vAlign w:val="center"/>
          </w:tcPr>
          <w:p w14:paraId="4668F2E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仿宋" w:cs="Times New Roman"/>
                <w:kern w:val="0"/>
                <w:sz w:val="22"/>
                <w:szCs w:val="20"/>
              </w:rPr>
            </w:pPr>
            <w:r>
              <w:rPr>
                <w:rFonts w:hint="default" w:ascii="Times New Roman" w:hAnsi="Times New Roman" w:eastAsia="仿宋" w:cs="Times New Roman"/>
                <w:kern w:val="0"/>
                <w:sz w:val="22"/>
                <w:szCs w:val="20"/>
              </w:rPr>
              <w:t>0.94</w:t>
            </w:r>
          </w:p>
        </w:tc>
      </w:tr>
      <w:bookmarkEnd w:id="225"/>
    </w:tbl>
    <w:p w14:paraId="10A06968">
      <w:pPr>
        <w:pStyle w:val="2"/>
        <w:spacing w:line="240" w:lineRule="auto"/>
        <w:rPr>
          <w:rFonts w:eastAsia="仿宋"/>
          <w:szCs w:val="24"/>
        </w:rPr>
      </w:pPr>
      <w:bookmarkStart w:id="227" w:name="_Toc22986"/>
      <w:bookmarkStart w:id="228" w:name="_Toc188029664"/>
      <w:bookmarkStart w:id="229" w:name="_Toc24088"/>
      <w:r>
        <w:rPr>
          <w:rFonts w:eastAsia="仿宋"/>
          <w:szCs w:val="24"/>
        </w:rPr>
        <w:t>3、评估结论</w:t>
      </w:r>
      <w:bookmarkEnd w:id="226"/>
      <w:bookmarkEnd w:id="227"/>
      <w:bookmarkEnd w:id="228"/>
      <w:bookmarkEnd w:id="229"/>
    </w:p>
    <w:p w14:paraId="74F87BF7">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以沉降法和Andersen法</w:t>
      </w:r>
      <w:r>
        <w:rPr>
          <w:rFonts w:ascii="Times New Roman" w:hAnsi="Times New Roman" w:eastAsia="仿宋" w:cs="Times New Roman"/>
          <w:sz w:val="24"/>
          <w:szCs w:val="24"/>
        </w:rPr>
        <w:t>为参比方法，</w:t>
      </w:r>
      <w:r>
        <w:rPr>
          <w:rFonts w:hint="eastAsia" w:ascii="Times New Roman" w:hAnsi="Times New Roman" w:eastAsia="仿宋" w:cs="Times New Roman"/>
          <w:sz w:val="24"/>
          <w:szCs w:val="24"/>
        </w:rPr>
        <w:t>评估了静电场采样方法对地铁站台空气气溶胶的</w:t>
      </w:r>
      <w:r>
        <w:rPr>
          <w:rFonts w:ascii="Times New Roman" w:hAnsi="Times New Roman" w:eastAsia="仿宋" w:cs="Times New Roman"/>
          <w:sz w:val="24"/>
          <w:szCs w:val="24"/>
        </w:rPr>
        <w:t>细菌总数</w:t>
      </w:r>
      <w:r>
        <w:rPr>
          <w:rFonts w:hint="eastAsia" w:ascii="Times New Roman" w:hAnsi="Times New Roman" w:eastAsia="仿宋" w:cs="Times New Roman"/>
          <w:sz w:val="24"/>
          <w:szCs w:val="24"/>
        </w:rPr>
        <w:t>的采样效果。</w:t>
      </w:r>
      <w:bookmarkStart w:id="230" w:name="_Hlk177396585"/>
      <w:r>
        <w:rPr>
          <w:rFonts w:hint="eastAsia" w:ascii="Times New Roman" w:hAnsi="Times New Roman" w:eastAsia="仿宋" w:cs="Times New Roman"/>
          <w:sz w:val="24"/>
          <w:szCs w:val="24"/>
        </w:rPr>
        <w:t>相同时空节点的同步采样结果分析比较显示：</w:t>
      </w:r>
    </w:p>
    <w:bookmarkEnd w:id="230"/>
    <w:p w14:paraId="7BB8B3FA">
      <w:pPr>
        <w:spacing w:line="240" w:lineRule="auto"/>
        <w:ind w:firstLine="480" w:firstLineChars="200"/>
        <w:rPr>
          <w:rFonts w:ascii="Times New Roman" w:hAnsi="Times New Roman" w:eastAsia="仿宋" w:cs="Times New Roman"/>
          <w:sz w:val="24"/>
          <w:szCs w:val="24"/>
        </w:rPr>
      </w:pPr>
      <w:r>
        <w:rPr>
          <w:rFonts w:ascii="Times New Roman" w:hAnsi="Times New Roman" w:eastAsia="仿宋" w:cs="Times New Roman"/>
          <w:sz w:val="24"/>
          <w:szCs w:val="24"/>
        </w:rPr>
        <w:t>（1）</w:t>
      </w:r>
      <w:r>
        <w:rPr>
          <w:rFonts w:hint="eastAsia" w:ascii="Times New Roman" w:hAnsi="Times New Roman" w:eastAsia="仿宋" w:cs="Times New Roman"/>
          <w:sz w:val="24"/>
          <w:szCs w:val="24"/>
        </w:rPr>
        <w:t>夏、冬两季，</w:t>
      </w:r>
      <w:r>
        <w:rPr>
          <w:rFonts w:ascii="Times New Roman" w:hAnsi="Times New Roman" w:eastAsia="仿宋" w:cs="Times New Roman"/>
          <w:sz w:val="24"/>
          <w:szCs w:val="24"/>
        </w:rPr>
        <w:t>静电场采样</w:t>
      </w:r>
      <w:r>
        <w:rPr>
          <w:rFonts w:hint="eastAsia" w:ascii="Times New Roman" w:hAnsi="Times New Roman" w:eastAsia="仿宋" w:cs="Times New Roman"/>
          <w:sz w:val="24"/>
          <w:szCs w:val="24"/>
        </w:rPr>
        <w:t xml:space="preserve">方法的可行性较好，与参比方法检出率无差异，对高浓度样品两季超标率有差异。 </w:t>
      </w:r>
    </w:p>
    <w:p w14:paraId="77DD8AC2">
      <w:pPr>
        <w:spacing w:line="240" w:lineRule="auto"/>
        <w:ind w:firstLine="480" w:firstLineChars="200"/>
        <w:rPr>
          <w:rFonts w:ascii="Times New Roman" w:hAnsi="Times New Roman" w:eastAsia="仿宋" w:cs="Times New Roman"/>
          <w:sz w:val="24"/>
          <w:szCs w:val="24"/>
        </w:rPr>
      </w:pPr>
      <w:r>
        <w:rPr>
          <w:rFonts w:ascii="Times New Roman" w:hAnsi="Times New Roman" w:eastAsia="仿宋" w:cs="Times New Roman"/>
          <w:sz w:val="24"/>
          <w:szCs w:val="24"/>
        </w:rPr>
        <w:t>（2）</w:t>
      </w:r>
      <w:r>
        <w:rPr>
          <w:rFonts w:hint="eastAsia" w:ascii="Times New Roman" w:hAnsi="Times New Roman" w:eastAsia="仿宋" w:cs="Times New Roman"/>
          <w:sz w:val="24"/>
          <w:szCs w:val="24"/>
        </w:rPr>
        <w:t>静电场</w:t>
      </w:r>
      <w:r>
        <w:rPr>
          <w:rFonts w:ascii="Times New Roman" w:hAnsi="Times New Roman" w:eastAsia="仿宋" w:cs="Times New Roman"/>
          <w:sz w:val="24"/>
          <w:szCs w:val="24"/>
        </w:rPr>
        <w:t>采样</w:t>
      </w:r>
      <w:r>
        <w:rPr>
          <w:rFonts w:hint="eastAsia" w:ascii="Times New Roman" w:hAnsi="Times New Roman" w:eastAsia="仿宋" w:cs="Times New Roman"/>
          <w:sz w:val="24"/>
          <w:szCs w:val="24"/>
        </w:rPr>
        <w:t>方法显示出一定的</w:t>
      </w:r>
      <w:r>
        <w:rPr>
          <w:rFonts w:ascii="Times New Roman" w:hAnsi="Times New Roman" w:eastAsia="仿宋" w:cs="Times New Roman"/>
          <w:sz w:val="24"/>
          <w:szCs w:val="24"/>
        </w:rPr>
        <w:t>准确性</w:t>
      </w:r>
      <w:r>
        <w:rPr>
          <w:rFonts w:hint="eastAsia" w:ascii="Times New Roman" w:hAnsi="Times New Roman" w:eastAsia="仿宋" w:cs="Times New Roman"/>
          <w:sz w:val="24"/>
          <w:szCs w:val="24"/>
        </w:rPr>
        <w:t>偏差，静电场采样检测结果高于沉降法和</w:t>
      </w:r>
      <w:r>
        <w:rPr>
          <w:rFonts w:ascii="Times New Roman" w:hAnsi="Times New Roman" w:eastAsia="仿宋" w:cs="Times New Roman"/>
          <w:sz w:val="24"/>
          <w:szCs w:val="24"/>
        </w:rPr>
        <w:t>Andersen</w:t>
      </w:r>
      <w:r>
        <w:rPr>
          <w:rFonts w:hint="eastAsia" w:ascii="Times New Roman" w:hAnsi="Times New Roman" w:eastAsia="仿宋" w:cs="Times New Roman"/>
          <w:sz w:val="24"/>
          <w:szCs w:val="24"/>
        </w:rPr>
        <w:t>法；夏季</w:t>
      </w:r>
      <w:r>
        <w:rPr>
          <w:rFonts w:ascii="Times New Roman" w:hAnsi="Times New Roman" w:eastAsia="仿宋" w:cs="Times New Roman"/>
          <w:sz w:val="24"/>
          <w:szCs w:val="24"/>
        </w:rPr>
        <w:t>Andersen</w:t>
      </w:r>
      <w:r>
        <w:rPr>
          <w:rFonts w:hint="eastAsia" w:ascii="Times New Roman" w:hAnsi="Times New Roman" w:eastAsia="仿宋" w:cs="Times New Roman"/>
          <w:sz w:val="24"/>
          <w:szCs w:val="24"/>
        </w:rPr>
        <w:t>法</w:t>
      </w:r>
      <w:r>
        <w:rPr>
          <w:rFonts w:ascii="Times New Roman" w:hAnsi="Times New Roman" w:eastAsia="仿宋" w:cs="Times New Roman"/>
          <w:sz w:val="24"/>
          <w:szCs w:val="24"/>
        </w:rPr>
        <w:t>高于沉降法，冬季沉降法结果高于Andersen</w:t>
      </w:r>
      <w:r>
        <w:rPr>
          <w:rFonts w:hint="eastAsia" w:ascii="Times New Roman" w:hAnsi="Times New Roman" w:eastAsia="仿宋" w:cs="Times New Roman"/>
          <w:sz w:val="24"/>
          <w:szCs w:val="24"/>
        </w:rPr>
        <w:t>法</w:t>
      </w:r>
      <w:r>
        <w:rPr>
          <w:rFonts w:ascii="Times New Roman" w:hAnsi="Times New Roman" w:eastAsia="仿宋" w:cs="Times New Roman"/>
          <w:sz w:val="24"/>
          <w:szCs w:val="24"/>
        </w:rPr>
        <w:t>。</w:t>
      </w:r>
    </w:p>
    <w:p w14:paraId="255A27FC">
      <w:pPr>
        <w:spacing w:line="240" w:lineRule="auto"/>
        <w:ind w:firstLine="480" w:firstLineChars="200"/>
        <w:rPr>
          <w:rFonts w:hint="eastAsia" w:ascii="Times New Roman" w:hAnsi="Times New Roman" w:eastAsia="仿宋" w:cs="Times New Roman"/>
          <w:b/>
          <w:bCs/>
          <w:kern w:val="44"/>
          <w:sz w:val="24"/>
          <w:szCs w:val="24"/>
          <w:lang w:val="en-US" w:eastAsia="zh-CN"/>
        </w:rPr>
      </w:pPr>
      <w:r>
        <w:rPr>
          <w:rFonts w:ascii="Times New Roman" w:hAnsi="Times New Roman" w:eastAsia="仿宋" w:cs="Times New Roman"/>
          <w:sz w:val="24"/>
          <w:szCs w:val="24"/>
        </w:rPr>
        <w:t>（3）</w:t>
      </w:r>
      <w:r>
        <w:rPr>
          <w:rFonts w:hint="eastAsia" w:ascii="Times New Roman" w:hAnsi="Times New Roman" w:eastAsia="仿宋" w:cs="Times New Roman"/>
          <w:sz w:val="24"/>
          <w:szCs w:val="24"/>
        </w:rPr>
        <w:t>静电场采样法稳定性较好，夏季静电场采样方法的稳定性与Andersen采样方法基本相当，冬季静电场采样方法的稳定性稍高于</w:t>
      </w:r>
      <w:r>
        <w:rPr>
          <w:rFonts w:ascii="Times New Roman" w:hAnsi="Times New Roman" w:eastAsia="仿宋" w:cs="Times New Roman"/>
          <w:sz w:val="24"/>
          <w:szCs w:val="24"/>
        </w:rPr>
        <w:t>Andersen采样方法</w:t>
      </w:r>
      <w:r>
        <w:rPr>
          <w:rFonts w:hint="eastAsia" w:ascii="Times New Roman" w:hAnsi="Times New Roman" w:eastAsia="仿宋" w:cs="Times New Roman"/>
          <w:sz w:val="24"/>
          <w:szCs w:val="24"/>
        </w:rPr>
        <w:t>。</w:t>
      </w:r>
      <w:bookmarkStart w:id="231" w:name="_Hlk51250009"/>
      <w:bookmarkEnd w:id="231"/>
    </w:p>
    <w:sectPr>
      <w:footerReference r:id="rId16" w:type="default"/>
      <w:type w:val="continuous"/>
      <w:pgSz w:w="11906" w:h="16838"/>
      <w:pgMar w:top="1440" w:right="1800" w:bottom="1440" w:left="1800"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1EFB2">
    <w:pPr>
      <w:pStyle w:val="16"/>
      <w:ind w:firstLine="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6B8EFF">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666B8EFF">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BD853">
    <w:pPr>
      <w:pStyle w:val="16"/>
      <w:ind w:firstLine="360"/>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71F599">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F71F599">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91A0E">
    <w:pPr>
      <w:pStyle w:val="1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4521"/>
                          </w:sdtPr>
                          <w:sdtContent>
                            <w:p w14:paraId="5154B324">
                              <w:pPr>
                                <w:pStyle w:val="16"/>
                                <w:jc w:val="center"/>
                              </w:pPr>
                              <w:r>
                                <w:fldChar w:fldCharType="begin"/>
                              </w:r>
                              <w:r>
                                <w:instrText xml:space="preserve">PAGE   \* MERGEFORMAT</w:instrText>
                              </w:r>
                              <w:r>
                                <w:fldChar w:fldCharType="separate"/>
                              </w:r>
                              <w:r>
                                <w:rPr>
                                  <w:lang w:val="zh-CN"/>
                                </w:rPr>
                                <w:t>33</w:t>
                              </w:r>
                              <w:r>
                                <w:fldChar w:fldCharType="end"/>
                              </w:r>
                            </w:p>
                          </w:sdtContent>
                        </w:sdt>
                        <w:p w14:paraId="6B2084B0"/>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sdt>
                    <w:sdtPr>
                      <w:id w:val="147464521"/>
                    </w:sdtPr>
                    <w:sdtContent>
                      <w:p w14:paraId="5154B324">
                        <w:pPr>
                          <w:pStyle w:val="16"/>
                          <w:jc w:val="center"/>
                        </w:pPr>
                        <w:r>
                          <w:fldChar w:fldCharType="begin"/>
                        </w:r>
                        <w:r>
                          <w:instrText xml:space="preserve">PAGE   \* MERGEFORMAT</w:instrText>
                        </w:r>
                        <w:r>
                          <w:fldChar w:fldCharType="separate"/>
                        </w:r>
                        <w:r>
                          <w:rPr>
                            <w:lang w:val="zh-CN"/>
                          </w:rPr>
                          <w:t>33</w:t>
                        </w:r>
                        <w:r>
                          <w:fldChar w:fldCharType="end"/>
                        </w:r>
                      </w:p>
                    </w:sdtContent>
                  </w:sdt>
                  <w:p w14:paraId="6B2084B0"/>
                </w:txbxContent>
              </v:textbox>
            </v:shape>
          </w:pict>
        </mc:Fallback>
      </mc:AlternateContent>
    </w:r>
  </w:p>
  <w:p w14:paraId="4DFA9E4E">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68706">
    <w:pPr>
      <w:pStyle w:val="16"/>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7AF1CE">
                          <w:pPr>
                            <w:pStyle w:val="16"/>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97AF1CE">
                    <w:pPr>
                      <w:pStyle w:val="16"/>
                    </w:pPr>
                    <w:r>
                      <w:fldChar w:fldCharType="begin"/>
                    </w:r>
                    <w:r>
                      <w:instrText xml:space="preserve"> PAGE  \* MERGEFORMAT </w:instrText>
                    </w:r>
                    <w:r>
                      <w:fldChar w:fldCharType="separate"/>
                    </w:r>
                    <w:r>
                      <w:t>13</w:t>
                    </w:r>
                    <w:r>
                      <w:fldChar w:fldCharType="end"/>
                    </w:r>
                  </w:p>
                </w:txbxContent>
              </v:textbox>
            </v:shape>
          </w:pict>
        </mc:Fallback>
      </mc:AlternateContent>
    </w:r>
  </w:p>
  <w:p w14:paraId="0746E639">
    <w:pPr>
      <w:pStyle w:val="1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58A7E">
    <w:pPr>
      <w:pStyle w:val="1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032C3">
    <w:pPr>
      <w:pStyle w:val="1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7660843"/>
      <w:docPartObj>
        <w:docPartGallery w:val="autotext"/>
      </w:docPartObj>
    </w:sdtPr>
    <w:sdtEndPr>
      <w:rPr>
        <w:rFonts w:ascii="Times New Roman" w:hAnsi="Times New Roman" w:cs="Times New Roman"/>
      </w:rPr>
    </w:sdtEndPr>
    <w:sdtContent>
      <w:p w14:paraId="419A7732">
        <w:pPr>
          <w:pStyle w:val="16"/>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8</w:t>
        </w:r>
        <w:r>
          <w:rPr>
            <w:rFonts w:ascii="Times New Roman" w:hAnsi="Times New Roman" w:cs="Times New Roman"/>
          </w:rPr>
          <w:fldChar w:fldCharType="end"/>
        </w:r>
      </w:p>
    </w:sdtContent>
  </w:sdt>
  <w:p w14:paraId="5DDB8776">
    <w:pPr>
      <w:pStyle w:val="16"/>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0B4D3">
    <w:pPr>
      <w:pStyle w:val="16"/>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3376"/>
                          </w:sdtPr>
                          <w:sdtContent>
                            <w:p w14:paraId="0D42913E">
                              <w:pPr>
                                <w:pStyle w:val="16"/>
                                <w:jc w:val="center"/>
                              </w:pPr>
                              <w:r>
                                <w:fldChar w:fldCharType="begin"/>
                              </w:r>
                              <w:r>
                                <w:instrText xml:space="preserve">PAGE   \* MERGEFORMAT</w:instrText>
                              </w:r>
                              <w:r>
                                <w:fldChar w:fldCharType="separate"/>
                              </w:r>
                              <w:r>
                                <w:rPr>
                                  <w:lang w:val="zh-CN"/>
                                </w:rPr>
                                <w:t>70</w:t>
                              </w:r>
                              <w:r>
                                <w:fldChar w:fldCharType="end"/>
                              </w:r>
                            </w:p>
                          </w:sdtContent>
                        </w:sdt>
                        <w:p w14:paraId="5D05461D"/>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sdt>
                    <w:sdtPr>
                      <w:id w:val="147483376"/>
                    </w:sdtPr>
                    <w:sdtContent>
                      <w:p w14:paraId="0D42913E">
                        <w:pPr>
                          <w:pStyle w:val="16"/>
                          <w:jc w:val="center"/>
                        </w:pPr>
                        <w:r>
                          <w:fldChar w:fldCharType="begin"/>
                        </w:r>
                        <w:r>
                          <w:instrText xml:space="preserve">PAGE   \* MERGEFORMAT</w:instrText>
                        </w:r>
                        <w:r>
                          <w:fldChar w:fldCharType="separate"/>
                        </w:r>
                        <w:r>
                          <w:rPr>
                            <w:lang w:val="zh-CN"/>
                          </w:rPr>
                          <w:t>70</w:t>
                        </w:r>
                        <w:r>
                          <w:fldChar w:fldCharType="end"/>
                        </w:r>
                      </w:p>
                    </w:sdtContent>
                  </w:sdt>
                  <w:p w14:paraId="5D05461D"/>
                </w:txbxContent>
              </v:textbox>
            </v:shape>
          </w:pict>
        </mc:Fallback>
      </mc:AlternateContent>
    </w:r>
  </w:p>
  <w:p w14:paraId="34188C58">
    <w:pPr>
      <w:spacing w:line="14" w:lineRule="auto"/>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8">
    <w:p>
      <w:pPr>
        <w:spacing w:line="360" w:lineRule="auto"/>
      </w:pPr>
      <w:r>
        <w:separator/>
      </w:r>
    </w:p>
  </w:footnote>
  <w:footnote w:type="continuationSeparator" w:id="19">
    <w:p>
      <w:pPr>
        <w:spacing w:line="360" w:lineRule="auto"/>
      </w:pPr>
      <w:r>
        <w:continuationSeparator/>
      </w:r>
    </w:p>
  </w:footnote>
  <w:footnote w:id="0">
    <w:p w14:paraId="6FEDA7CE">
      <w:pPr>
        <w:pStyle w:val="21"/>
        <w:snapToGrid w:val="0"/>
        <w:rPr>
          <w:rFonts w:hint="default" w:eastAsia="宋体"/>
          <w:lang w:val="en-US" w:eastAsia="zh-CN"/>
        </w:rPr>
      </w:pPr>
      <w:r>
        <w:rPr>
          <w:rStyle w:val="32"/>
        </w:rPr>
        <w:t>[</w:t>
      </w:r>
      <w:r>
        <w:rPr>
          <w:rStyle w:val="32"/>
        </w:rPr>
        <w:footnoteRef/>
      </w:r>
      <w:r>
        <w:rPr>
          <w:rStyle w:val="32"/>
        </w:rPr>
        <w:t>]</w:t>
      </w:r>
      <w:r>
        <w:t xml:space="preserve"> </w:t>
      </w:r>
      <w:r>
        <w:rPr>
          <w:rFonts w:hint="eastAsia"/>
          <w:lang w:val="en-US" w:eastAsia="zh-CN"/>
        </w:rPr>
        <w:t>王先良.典型公共场所病原微生物风险控制需求[M]. 北京: 人民卫生出版社. 2025.</w:t>
      </w:r>
    </w:p>
  </w:footnote>
  <w:footnote w:id="1">
    <w:p w14:paraId="24EC191E">
      <w:pPr>
        <w:pStyle w:val="21"/>
        <w:keepNext w:val="0"/>
        <w:keepLines w:val="0"/>
        <w:pageBreakBefore w:val="0"/>
        <w:widowControl w:val="0"/>
        <w:kinsoku w:val="0"/>
        <w:wordWrap w:val="0"/>
        <w:overflowPunct/>
        <w:topLinePunct w:val="0"/>
        <w:bidi w:val="0"/>
        <w:adjustRightInd/>
        <w:snapToGrid w:val="0"/>
        <w:textAlignment w:val="auto"/>
      </w:pPr>
      <w:r>
        <w:rPr>
          <w:rStyle w:val="32"/>
        </w:rPr>
        <w:t>[</w:t>
      </w:r>
      <w:r>
        <w:rPr>
          <w:rStyle w:val="32"/>
        </w:rPr>
        <w:footnoteRef/>
      </w:r>
      <w:r>
        <w:rPr>
          <w:rStyle w:val="32"/>
        </w:rPr>
        <w:t>]</w:t>
      </w:r>
      <w:r>
        <w:t xml:space="preserve"> </w:t>
      </w:r>
      <w:r>
        <w:rPr>
          <w:rFonts w:hint="eastAsia"/>
        </w:rPr>
        <w:t>医学名词审定委员会.感染病学名词审定分委员会.感染病学名词[EB/OL].(2019)[2026-04-01]. https://www.termonline.cn/wordDetail?termName=病原体&amp;subject=3491978326a911eea497b068e6519520&amp;base=1</w:t>
      </w:r>
    </w:p>
  </w:footnote>
  <w:footnote w:id="2">
    <w:p w14:paraId="7AC1E1B6">
      <w:pPr>
        <w:pStyle w:val="21"/>
        <w:keepNext w:val="0"/>
        <w:keepLines w:val="0"/>
        <w:pageBreakBefore w:val="0"/>
        <w:widowControl w:val="0"/>
        <w:kinsoku w:val="0"/>
        <w:wordWrap w:val="0"/>
        <w:overflowPunct/>
        <w:topLinePunct w:val="0"/>
        <w:bidi w:val="0"/>
        <w:adjustRightInd/>
        <w:snapToGrid w:val="0"/>
        <w:textAlignment w:val="auto"/>
      </w:pPr>
      <w:r>
        <w:rPr>
          <w:rStyle w:val="32"/>
        </w:rPr>
        <w:t>[</w:t>
      </w:r>
      <w:r>
        <w:rPr>
          <w:rStyle w:val="32"/>
        </w:rPr>
        <w:footnoteRef/>
      </w:r>
      <w:r>
        <w:rPr>
          <w:rStyle w:val="32"/>
        </w:rPr>
        <w:t>]</w:t>
      </w:r>
      <w:r>
        <w:t xml:space="preserve"> </w:t>
      </w:r>
      <w:r>
        <w:rPr>
          <w:rFonts w:hint="eastAsia"/>
        </w:rPr>
        <w:t>化工名词审定委员会.化学工程名词（四）安全·环保·可持续发展[EB/OL].(2020)[2026-04-01]. https://www.termonline.cn/wordDetail?termName=自动采样&amp;subject=e2e9fde726a711eebd82b068e6519520&amp;base=1</w:t>
      </w:r>
    </w:p>
  </w:footnote>
  <w:footnote w:id="3">
    <w:p w14:paraId="39F5B36E">
      <w:pPr>
        <w:pStyle w:val="21"/>
        <w:keepNext w:val="0"/>
        <w:keepLines w:val="0"/>
        <w:pageBreakBefore w:val="0"/>
        <w:widowControl w:val="0"/>
        <w:kinsoku w:val="0"/>
        <w:wordWrap w:val="0"/>
        <w:overflowPunct/>
        <w:topLinePunct w:val="0"/>
        <w:bidi w:val="0"/>
        <w:adjustRightInd/>
        <w:snapToGrid w:val="0"/>
        <w:textAlignment w:val="auto"/>
      </w:pPr>
      <w:r>
        <w:rPr>
          <w:rStyle w:val="32"/>
        </w:rPr>
        <w:t>[</w:t>
      </w:r>
      <w:r>
        <w:rPr>
          <w:rStyle w:val="32"/>
        </w:rPr>
        <w:footnoteRef/>
      </w:r>
      <w:r>
        <w:rPr>
          <w:rStyle w:val="32"/>
        </w:rPr>
        <w:t>]</w:t>
      </w:r>
      <w:r>
        <w:t xml:space="preserve"> </w:t>
      </w:r>
      <w:r>
        <w:rPr>
          <w:rFonts w:hint="eastAsia"/>
        </w:rPr>
        <w:t>[2]机械工程名词 第一分册审定委员会.机械工程名词 第一分册[EB/OL].(2021)[2026-04-01]. https://www.termonline.cn/wordDetail?termName=智能化系统&amp;subject=f927334526a911eeb240b068e6519520&amp;base=1</w:t>
      </w:r>
    </w:p>
  </w:footnote>
  <w:footnote w:id="4">
    <w:p w14:paraId="5A48F985">
      <w:pPr>
        <w:pStyle w:val="21"/>
        <w:snapToGrid w:val="0"/>
      </w:pPr>
      <w:r>
        <w:rPr>
          <w:rStyle w:val="32"/>
        </w:rPr>
        <w:t>[</w:t>
      </w:r>
      <w:r>
        <w:rPr>
          <w:rStyle w:val="32"/>
        </w:rPr>
        <w:footnoteRef/>
      </w:r>
      <w:r>
        <w:rPr>
          <w:rStyle w:val="32"/>
        </w:rPr>
        <w:t>]</w:t>
      </w:r>
      <w:r>
        <w:t xml:space="preserve"> </w:t>
      </w:r>
      <w:r>
        <w:rPr>
          <w:rFonts w:hint="eastAsia"/>
          <w:lang w:val="en-US" w:eastAsia="zh-CN"/>
        </w:rPr>
        <w:t>国务院.</w:t>
      </w:r>
      <w:r>
        <w:rPr>
          <w:rFonts w:hint="eastAsia" w:cs="Times New Roman"/>
          <w:szCs w:val="24"/>
          <w:lang w:val="en-US" w:eastAsia="zh-CN"/>
        </w:rPr>
        <w:t>关于推动疾病预防控制事业高质量发展的指导意见</w:t>
      </w:r>
      <w:r>
        <w:rPr>
          <w:rFonts w:hint="eastAsia"/>
        </w:rPr>
        <w:t>[EB/OL].(202</w:t>
      </w:r>
      <w:r>
        <w:rPr>
          <w:rFonts w:hint="eastAsia"/>
          <w:lang w:val="en-US" w:eastAsia="zh-CN"/>
        </w:rPr>
        <w:t>3</w:t>
      </w:r>
      <w:r>
        <w:rPr>
          <w:rFonts w:hint="eastAsia"/>
        </w:rPr>
        <w:t>)[2026-04-01].</w:t>
      </w:r>
      <w:r>
        <w:rPr>
          <w:rFonts w:hint="eastAsia"/>
          <w:lang w:val="en-US" w:eastAsia="zh-CN"/>
        </w:rPr>
        <w:t xml:space="preserve"> </w:t>
      </w:r>
      <w:r>
        <w:rPr>
          <w:rFonts w:hint="eastAsia"/>
        </w:rPr>
        <w:t>https://www.nirp.cn/fswsfgbz/fg/gfxwj/202502/W020250428529396338231.pdf</w:t>
      </w:r>
    </w:p>
  </w:footnote>
  <w:footnote w:id="5">
    <w:p w14:paraId="12AA214B">
      <w:pPr>
        <w:pStyle w:val="21"/>
        <w:snapToGrid w:val="0"/>
      </w:pPr>
      <w:r>
        <w:rPr>
          <w:rStyle w:val="32"/>
        </w:rPr>
        <w:t>[</w:t>
      </w:r>
      <w:r>
        <w:rPr>
          <w:rStyle w:val="32"/>
        </w:rPr>
        <w:footnoteRef/>
      </w:r>
      <w:r>
        <w:rPr>
          <w:rStyle w:val="32"/>
        </w:rPr>
        <w:t>]</w:t>
      </w:r>
      <w:r>
        <w:t xml:space="preserve"> </w:t>
      </w:r>
      <w:r>
        <w:rPr>
          <w:rFonts w:hint="eastAsia"/>
        </w:rPr>
        <w:t>徐羽贞. 微生物气溶胶静电收集技术研究[D]. 浙江:浙江大学,2015.</w:t>
      </w:r>
    </w:p>
  </w:footnote>
  <w:footnote w:id="6">
    <w:p w14:paraId="4AA69E87">
      <w:pPr>
        <w:pStyle w:val="21"/>
        <w:snapToGrid w:val="0"/>
        <w:rPr>
          <w:rFonts w:hint="default" w:eastAsia="宋体"/>
          <w:lang w:val="en-US" w:eastAsia="zh-CN"/>
        </w:rPr>
      </w:pPr>
      <w:r>
        <w:rPr>
          <w:rStyle w:val="32"/>
        </w:rPr>
        <w:t>[</w:t>
      </w:r>
      <w:r>
        <w:rPr>
          <w:rStyle w:val="32"/>
        </w:rPr>
        <w:footnoteRef/>
      </w:r>
      <w:r>
        <w:rPr>
          <w:rStyle w:val="32"/>
        </w:rPr>
        <w:t>]</w:t>
      </w:r>
      <w:r>
        <w:t xml:space="preserve"> </w:t>
      </w:r>
      <w:r>
        <w:rPr>
          <w:rFonts w:hint="eastAsia"/>
          <w:lang w:val="en-US" w:eastAsia="zh-CN"/>
        </w:rPr>
        <w:t>Y</w:t>
      </w:r>
      <w:r>
        <w:rPr>
          <w:rFonts w:hint="eastAsia"/>
        </w:rPr>
        <w:t>aoMS，Mainelis G．Utilization of natural electrical charges on airborne microorganisms for their collectionby electrostatic means[J</w:t>
      </w:r>
      <w:r>
        <w:rPr>
          <w:rFonts w:hint="eastAsia"/>
          <w:lang w:val="en-US" w:eastAsia="zh-CN"/>
        </w:rPr>
        <w:t xml:space="preserve">]. J </w:t>
      </w:r>
      <w:r>
        <w:rPr>
          <w:rFonts w:hint="eastAsia"/>
        </w:rPr>
        <w:t>Aerosol Sci</w:t>
      </w:r>
      <w:r>
        <w:rPr>
          <w:rFonts w:hint="eastAsia"/>
          <w:lang w:val="en-US" w:eastAsia="zh-CN"/>
        </w:rPr>
        <w:t>,</w:t>
      </w:r>
      <w:r>
        <w:rPr>
          <w:rFonts w:hint="eastAsia"/>
        </w:rPr>
        <w:t>2006</w:t>
      </w:r>
      <w:r>
        <w:rPr>
          <w:rFonts w:hint="eastAsia"/>
          <w:lang w:val="en-US" w:eastAsia="zh-CN"/>
        </w:rPr>
        <w:t>,</w:t>
      </w:r>
      <w:r>
        <w:rPr>
          <w:rFonts w:hint="eastAsia"/>
        </w:rPr>
        <w:t>37(4)</w:t>
      </w:r>
      <w:r>
        <w:rPr>
          <w:rFonts w:hint="eastAsia"/>
          <w:lang w:val="en-US" w:eastAsia="zh-CN"/>
        </w:rPr>
        <w:t>: 513-527.</w:t>
      </w:r>
    </w:p>
  </w:footnote>
  <w:footnote w:id="7">
    <w:p w14:paraId="448ED46E">
      <w:pPr>
        <w:pStyle w:val="21"/>
        <w:snapToGrid w:val="0"/>
      </w:pPr>
      <w:r>
        <w:rPr>
          <w:rStyle w:val="32"/>
        </w:rPr>
        <w:t>[</w:t>
      </w:r>
      <w:r>
        <w:rPr>
          <w:rStyle w:val="32"/>
        </w:rPr>
        <w:footnoteRef/>
      </w:r>
      <w:r>
        <w:rPr>
          <w:rStyle w:val="32"/>
        </w:rPr>
        <w:t>]</w:t>
      </w:r>
      <w:r>
        <w:t xml:space="preserve"> </w:t>
      </w:r>
      <w:r>
        <w:rPr>
          <w:rFonts w:hint="eastAsia"/>
        </w:rPr>
        <w:t xml:space="preserve">Li L, Du H, Meng C, Fan L, Liu H, Han X, Ge T, Su L, Yao X, Wang X. The relationship between indoor airborne culturable bacteria with passenger flow in 132 traffic stations during 2019-2020, China. J Environ Manage. 2025 Jan;373:123482. </w:t>
      </w:r>
    </w:p>
  </w:footnote>
  <w:footnote w:id="8">
    <w:p w14:paraId="3B4E4F36">
      <w:pPr>
        <w:pStyle w:val="21"/>
      </w:pPr>
      <w:r>
        <w:rPr>
          <w:rStyle w:val="32"/>
        </w:rPr>
        <w:t>[</w:t>
      </w:r>
      <w:r>
        <w:rPr>
          <w:rStyle w:val="32"/>
        </w:rPr>
        <w:footnoteRef/>
      </w:r>
      <w:r>
        <w:rPr>
          <w:rStyle w:val="32"/>
        </w:rPr>
        <w:t>]</w:t>
      </w:r>
      <w:r>
        <w:t xml:space="preserve"> </w:t>
      </w:r>
      <w:r>
        <w:rPr>
          <w:rFonts w:hint="eastAsia" w:ascii="Times New Roman" w:hAnsi="Times New Roman" w:eastAsia="宋体" w:cs="Times New Roman"/>
        </w:rPr>
        <w:t>参考</w:t>
      </w:r>
      <w:r>
        <w:rPr>
          <w:rFonts w:ascii="Times New Roman" w:hAnsi="Times New Roman" w:eastAsia="宋体" w:cs="Times New Roman"/>
        </w:rPr>
        <w:t>GB 37488-2019公共场所卫生指标及限值要求，非睡眠、休憩需求公共场所室内细菌总数不应大于4000CFU/m</w:t>
      </w:r>
      <w:r>
        <w:rPr>
          <w:rFonts w:ascii="Times New Roman" w:hAnsi="Times New Roman" w:eastAsia="宋体" w:cs="Times New Roman"/>
          <w:vertAlign w:val="superscript"/>
        </w:rPr>
        <w:t>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42129">
    <w:pPr>
      <w:pStyle w:val="1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19C36">
    <w:pPr>
      <w:pStyle w:val="17"/>
      <w:pBdr>
        <w:top w:val="none" w:color="auto" w:sz="0" w:space="0"/>
        <w:left w:val="none" w:color="auto" w:sz="0" w:space="0"/>
        <w:bottom w:val="none" w:color="auto" w:sz="0" w:space="1"/>
        <w:right w:val="none" w:color="auto" w:sz="0" w:space="0"/>
        <w:between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CB36F">
    <w:pPr>
      <w:pStyle w:val="1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D793F">
    <w:pPr>
      <w:pStyle w:val="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324214"/>
    <w:multiLevelType w:val="multilevel"/>
    <w:tmpl w:val="0E324214"/>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pStyle w:val="6"/>
      <w:lvlText w:val="%5."/>
      <w:lvlJc w:val="left"/>
      <w:pPr>
        <w:tabs>
          <w:tab w:val="left" w:pos="3600"/>
        </w:tabs>
        <w:ind w:left="3600" w:hanging="720"/>
      </w:pPr>
    </w:lvl>
    <w:lvl w:ilvl="5" w:tentative="0">
      <w:start w:val="1"/>
      <w:numFmt w:val="decimal"/>
      <w:pStyle w:val="7"/>
      <w:lvlText w:val="%6."/>
      <w:lvlJc w:val="left"/>
      <w:pPr>
        <w:tabs>
          <w:tab w:val="left" w:pos="4320"/>
        </w:tabs>
        <w:ind w:left="4320" w:hanging="720"/>
      </w:pPr>
    </w:lvl>
    <w:lvl w:ilvl="6" w:tentative="0">
      <w:start w:val="1"/>
      <w:numFmt w:val="decimal"/>
      <w:pStyle w:val="8"/>
      <w:lvlText w:val="%7."/>
      <w:lvlJc w:val="left"/>
      <w:pPr>
        <w:tabs>
          <w:tab w:val="left" w:pos="5040"/>
        </w:tabs>
        <w:ind w:left="5040" w:hanging="720"/>
      </w:pPr>
    </w:lvl>
    <w:lvl w:ilvl="7" w:tentative="0">
      <w:start w:val="1"/>
      <w:numFmt w:val="decimal"/>
      <w:pStyle w:val="9"/>
      <w:lvlText w:val="%8."/>
      <w:lvlJc w:val="left"/>
      <w:pPr>
        <w:tabs>
          <w:tab w:val="left" w:pos="5760"/>
        </w:tabs>
        <w:ind w:left="5760" w:hanging="720"/>
      </w:pPr>
    </w:lvl>
    <w:lvl w:ilvl="8" w:tentative="0">
      <w:start w:val="1"/>
      <w:numFmt w:val="decimal"/>
      <w:pStyle w:val="10"/>
      <w:lvlText w:val="%9."/>
      <w:lvlJc w:val="left"/>
      <w:pPr>
        <w:tabs>
          <w:tab w:val="left" w:pos="6480"/>
        </w:tabs>
        <w:ind w:left="6480" w:hanging="720"/>
      </w:pPr>
    </w:lvl>
  </w:abstractNum>
  <w:abstractNum w:abstractNumId="1">
    <w:nsid w:val="2C5917C3"/>
    <w:multiLevelType w:val="multilevel"/>
    <w:tmpl w:val="2C5917C3"/>
    <w:lvl w:ilvl="0" w:tentative="0">
      <w:start w:val="1"/>
      <w:numFmt w:val="none"/>
      <w:pStyle w:val="85"/>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
    <w:nsid w:val="44C50F90"/>
    <w:multiLevelType w:val="multilevel"/>
    <w:tmpl w:val="44C50F90"/>
    <w:lvl w:ilvl="0" w:tentative="0">
      <w:start w:val="1"/>
      <w:numFmt w:val="lowerLetter"/>
      <w:pStyle w:val="86"/>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456BBC6C"/>
    <w:multiLevelType w:val="singleLevel"/>
    <w:tmpl w:val="456BBC6C"/>
    <w:lvl w:ilvl="0" w:tentative="0">
      <w:start w:val="1"/>
      <w:numFmt w:val="lowerLetter"/>
      <w:lvlText w:val="%1."/>
      <w:lvlJc w:val="left"/>
      <w:pPr>
        <w:ind w:left="425" w:hanging="425"/>
      </w:pPr>
      <w:rPr>
        <w:rFonts w:hint="default"/>
      </w:rPr>
    </w:lvl>
  </w:abstractNum>
  <w:abstractNum w:abstractNumId="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18"/>
    <w:footnote w:id="19"/>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Environmental Health&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2tavvv9d9w0x7e2907vr9fiz9sszrrvte5t&quot;&gt;My EndNote Library 复制&lt;record-ids&gt;&lt;item&gt;120&lt;/item&gt;&lt;/record-ids&gt;&lt;/item&gt;&lt;/Libraries&gt;"/>
  </w:docVars>
  <w:rsids>
    <w:rsidRoot w:val="00520C64"/>
    <w:rsid w:val="00000649"/>
    <w:rsid w:val="000007CE"/>
    <w:rsid w:val="0000151A"/>
    <w:rsid w:val="00002F26"/>
    <w:rsid w:val="000077D3"/>
    <w:rsid w:val="00007C80"/>
    <w:rsid w:val="000102D5"/>
    <w:rsid w:val="0001233C"/>
    <w:rsid w:val="00015172"/>
    <w:rsid w:val="00015613"/>
    <w:rsid w:val="000162E0"/>
    <w:rsid w:val="0001756B"/>
    <w:rsid w:val="00020565"/>
    <w:rsid w:val="0002189F"/>
    <w:rsid w:val="00022255"/>
    <w:rsid w:val="00025DA2"/>
    <w:rsid w:val="0002624A"/>
    <w:rsid w:val="0002646D"/>
    <w:rsid w:val="00026877"/>
    <w:rsid w:val="00026C06"/>
    <w:rsid w:val="000270B1"/>
    <w:rsid w:val="000314D2"/>
    <w:rsid w:val="000317DB"/>
    <w:rsid w:val="00031F22"/>
    <w:rsid w:val="000413C3"/>
    <w:rsid w:val="00042222"/>
    <w:rsid w:val="00043A80"/>
    <w:rsid w:val="00047681"/>
    <w:rsid w:val="00047939"/>
    <w:rsid w:val="00052499"/>
    <w:rsid w:val="00056C83"/>
    <w:rsid w:val="000605C4"/>
    <w:rsid w:val="00062C27"/>
    <w:rsid w:val="00063EF7"/>
    <w:rsid w:val="00065ACF"/>
    <w:rsid w:val="00072696"/>
    <w:rsid w:val="00072D91"/>
    <w:rsid w:val="000735D6"/>
    <w:rsid w:val="00075B67"/>
    <w:rsid w:val="00076591"/>
    <w:rsid w:val="00077E4E"/>
    <w:rsid w:val="00077EEC"/>
    <w:rsid w:val="00077FB2"/>
    <w:rsid w:val="000811D0"/>
    <w:rsid w:val="00091E83"/>
    <w:rsid w:val="0009390F"/>
    <w:rsid w:val="00094DDE"/>
    <w:rsid w:val="000968D9"/>
    <w:rsid w:val="000A3F12"/>
    <w:rsid w:val="000A5424"/>
    <w:rsid w:val="000A7CDD"/>
    <w:rsid w:val="000B2D4C"/>
    <w:rsid w:val="000B326C"/>
    <w:rsid w:val="000B4DDD"/>
    <w:rsid w:val="000C4AF2"/>
    <w:rsid w:val="000C4E39"/>
    <w:rsid w:val="000C5A15"/>
    <w:rsid w:val="000D0664"/>
    <w:rsid w:val="000D5C15"/>
    <w:rsid w:val="000E33B1"/>
    <w:rsid w:val="000E529B"/>
    <w:rsid w:val="000E75B2"/>
    <w:rsid w:val="000E7756"/>
    <w:rsid w:val="000F4244"/>
    <w:rsid w:val="000F55DD"/>
    <w:rsid w:val="000F6BCC"/>
    <w:rsid w:val="000F782E"/>
    <w:rsid w:val="00100028"/>
    <w:rsid w:val="00101679"/>
    <w:rsid w:val="00102EFE"/>
    <w:rsid w:val="001105BE"/>
    <w:rsid w:val="0011229C"/>
    <w:rsid w:val="00114A4E"/>
    <w:rsid w:val="0011507A"/>
    <w:rsid w:val="00117F59"/>
    <w:rsid w:val="001230B6"/>
    <w:rsid w:val="00123F4D"/>
    <w:rsid w:val="001250E5"/>
    <w:rsid w:val="00131388"/>
    <w:rsid w:val="001330FB"/>
    <w:rsid w:val="00134F48"/>
    <w:rsid w:val="00136DF8"/>
    <w:rsid w:val="00140965"/>
    <w:rsid w:val="00141505"/>
    <w:rsid w:val="001454CE"/>
    <w:rsid w:val="00147461"/>
    <w:rsid w:val="001478E2"/>
    <w:rsid w:val="001513D8"/>
    <w:rsid w:val="001527D7"/>
    <w:rsid w:val="0015317C"/>
    <w:rsid w:val="001532A5"/>
    <w:rsid w:val="0015437A"/>
    <w:rsid w:val="00157ABC"/>
    <w:rsid w:val="00163304"/>
    <w:rsid w:val="00163919"/>
    <w:rsid w:val="00164855"/>
    <w:rsid w:val="001649B2"/>
    <w:rsid w:val="00165308"/>
    <w:rsid w:val="001656AF"/>
    <w:rsid w:val="00166498"/>
    <w:rsid w:val="001667D6"/>
    <w:rsid w:val="001710BA"/>
    <w:rsid w:val="00173B01"/>
    <w:rsid w:val="00176729"/>
    <w:rsid w:val="00176DB3"/>
    <w:rsid w:val="00176F13"/>
    <w:rsid w:val="00177904"/>
    <w:rsid w:val="001827CA"/>
    <w:rsid w:val="00185A32"/>
    <w:rsid w:val="00191F95"/>
    <w:rsid w:val="00192B82"/>
    <w:rsid w:val="0019527E"/>
    <w:rsid w:val="001A1047"/>
    <w:rsid w:val="001A245E"/>
    <w:rsid w:val="001A31DA"/>
    <w:rsid w:val="001A52B2"/>
    <w:rsid w:val="001A6F31"/>
    <w:rsid w:val="001B0743"/>
    <w:rsid w:val="001B1B32"/>
    <w:rsid w:val="001B200F"/>
    <w:rsid w:val="001B4266"/>
    <w:rsid w:val="001B590F"/>
    <w:rsid w:val="001C2E8F"/>
    <w:rsid w:val="001C7A17"/>
    <w:rsid w:val="001D1763"/>
    <w:rsid w:val="001D1C57"/>
    <w:rsid w:val="001D21BA"/>
    <w:rsid w:val="001D6308"/>
    <w:rsid w:val="001E184A"/>
    <w:rsid w:val="001E1990"/>
    <w:rsid w:val="001E1F9D"/>
    <w:rsid w:val="001E431C"/>
    <w:rsid w:val="001E64DB"/>
    <w:rsid w:val="001E693E"/>
    <w:rsid w:val="001E732B"/>
    <w:rsid w:val="001F125B"/>
    <w:rsid w:val="001F3408"/>
    <w:rsid w:val="001F4367"/>
    <w:rsid w:val="001F58EF"/>
    <w:rsid w:val="001F6876"/>
    <w:rsid w:val="00203934"/>
    <w:rsid w:val="002044B2"/>
    <w:rsid w:val="00204FB6"/>
    <w:rsid w:val="0020598C"/>
    <w:rsid w:val="00205C32"/>
    <w:rsid w:val="00207F57"/>
    <w:rsid w:val="0021521E"/>
    <w:rsid w:val="002155C0"/>
    <w:rsid w:val="00215D3D"/>
    <w:rsid w:val="0021612A"/>
    <w:rsid w:val="00216BAF"/>
    <w:rsid w:val="0022057B"/>
    <w:rsid w:val="002223AA"/>
    <w:rsid w:val="00223B3D"/>
    <w:rsid w:val="0022484B"/>
    <w:rsid w:val="00224F00"/>
    <w:rsid w:val="002313AE"/>
    <w:rsid w:val="002329CD"/>
    <w:rsid w:val="00232EE9"/>
    <w:rsid w:val="002339C1"/>
    <w:rsid w:val="00233E8C"/>
    <w:rsid w:val="0023405D"/>
    <w:rsid w:val="002345F9"/>
    <w:rsid w:val="002356B9"/>
    <w:rsid w:val="0024062D"/>
    <w:rsid w:val="0024134F"/>
    <w:rsid w:val="00241A34"/>
    <w:rsid w:val="00242011"/>
    <w:rsid w:val="002435EE"/>
    <w:rsid w:val="00243621"/>
    <w:rsid w:val="00245373"/>
    <w:rsid w:val="00246D32"/>
    <w:rsid w:val="0024712D"/>
    <w:rsid w:val="00250701"/>
    <w:rsid w:val="0025260E"/>
    <w:rsid w:val="00253A2B"/>
    <w:rsid w:val="00255AE2"/>
    <w:rsid w:val="002633D7"/>
    <w:rsid w:val="002647EF"/>
    <w:rsid w:val="00270197"/>
    <w:rsid w:val="00271752"/>
    <w:rsid w:val="00271E50"/>
    <w:rsid w:val="00271FBF"/>
    <w:rsid w:val="00272528"/>
    <w:rsid w:val="002752E1"/>
    <w:rsid w:val="0027584F"/>
    <w:rsid w:val="00277A22"/>
    <w:rsid w:val="00277EAB"/>
    <w:rsid w:val="00277FA6"/>
    <w:rsid w:val="00280E80"/>
    <w:rsid w:val="002814B1"/>
    <w:rsid w:val="00283646"/>
    <w:rsid w:val="00283EDD"/>
    <w:rsid w:val="00284507"/>
    <w:rsid w:val="00285D76"/>
    <w:rsid w:val="00287E18"/>
    <w:rsid w:val="00290737"/>
    <w:rsid w:val="002910C5"/>
    <w:rsid w:val="00291A95"/>
    <w:rsid w:val="00293DDF"/>
    <w:rsid w:val="0029463B"/>
    <w:rsid w:val="00295AE7"/>
    <w:rsid w:val="002A096E"/>
    <w:rsid w:val="002A0F74"/>
    <w:rsid w:val="002A1FC2"/>
    <w:rsid w:val="002A2041"/>
    <w:rsid w:val="002B1E2E"/>
    <w:rsid w:val="002B2E19"/>
    <w:rsid w:val="002B3479"/>
    <w:rsid w:val="002B41F7"/>
    <w:rsid w:val="002B5F08"/>
    <w:rsid w:val="002C28FB"/>
    <w:rsid w:val="002C49DD"/>
    <w:rsid w:val="002C4C31"/>
    <w:rsid w:val="002C7B14"/>
    <w:rsid w:val="002D00D3"/>
    <w:rsid w:val="002D0427"/>
    <w:rsid w:val="002D1C04"/>
    <w:rsid w:val="002D1D2C"/>
    <w:rsid w:val="002D1E76"/>
    <w:rsid w:val="002D20EB"/>
    <w:rsid w:val="002D3BB3"/>
    <w:rsid w:val="002D6A24"/>
    <w:rsid w:val="002E1034"/>
    <w:rsid w:val="002E27C2"/>
    <w:rsid w:val="002E2B9D"/>
    <w:rsid w:val="002E6D1B"/>
    <w:rsid w:val="002E7AB5"/>
    <w:rsid w:val="002F02E4"/>
    <w:rsid w:val="002F0C82"/>
    <w:rsid w:val="002F1241"/>
    <w:rsid w:val="002F3CE3"/>
    <w:rsid w:val="002F4AC3"/>
    <w:rsid w:val="002F708C"/>
    <w:rsid w:val="00301311"/>
    <w:rsid w:val="003023BB"/>
    <w:rsid w:val="00302457"/>
    <w:rsid w:val="00302747"/>
    <w:rsid w:val="003034DA"/>
    <w:rsid w:val="00304DED"/>
    <w:rsid w:val="003071DC"/>
    <w:rsid w:val="00315792"/>
    <w:rsid w:val="00315943"/>
    <w:rsid w:val="0031615F"/>
    <w:rsid w:val="003166DC"/>
    <w:rsid w:val="00316B13"/>
    <w:rsid w:val="003170F5"/>
    <w:rsid w:val="003178A2"/>
    <w:rsid w:val="00320B9B"/>
    <w:rsid w:val="00323FF7"/>
    <w:rsid w:val="003252A6"/>
    <w:rsid w:val="003260FD"/>
    <w:rsid w:val="00327609"/>
    <w:rsid w:val="00330A05"/>
    <w:rsid w:val="003320D7"/>
    <w:rsid w:val="00332214"/>
    <w:rsid w:val="00334D83"/>
    <w:rsid w:val="00336464"/>
    <w:rsid w:val="003412A5"/>
    <w:rsid w:val="0034142F"/>
    <w:rsid w:val="003415DC"/>
    <w:rsid w:val="00345424"/>
    <w:rsid w:val="00345919"/>
    <w:rsid w:val="00345A0B"/>
    <w:rsid w:val="00345D44"/>
    <w:rsid w:val="00350AAB"/>
    <w:rsid w:val="00351646"/>
    <w:rsid w:val="0035540E"/>
    <w:rsid w:val="00355B9C"/>
    <w:rsid w:val="0036138E"/>
    <w:rsid w:val="0036388F"/>
    <w:rsid w:val="00367EF7"/>
    <w:rsid w:val="00370C03"/>
    <w:rsid w:val="003716F1"/>
    <w:rsid w:val="00374D03"/>
    <w:rsid w:val="00374FD9"/>
    <w:rsid w:val="00380A3D"/>
    <w:rsid w:val="00381D24"/>
    <w:rsid w:val="00383CE8"/>
    <w:rsid w:val="00384177"/>
    <w:rsid w:val="00385265"/>
    <w:rsid w:val="00385ADD"/>
    <w:rsid w:val="0038656B"/>
    <w:rsid w:val="00386BE1"/>
    <w:rsid w:val="00386F9B"/>
    <w:rsid w:val="00387090"/>
    <w:rsid w:val="0039405C"/>
    <w:rsid w:val="0039512C"/>
    <w:rsid w:val="003A1389"/>
    <w:rsid w:val="003A1AF4"/>
    <w:rsid w:val="003A1D63"/>
    <w:rsid w:val="003A6692"/>
    <w:rsid w:val="003B183A"/>
    <w:rsid w:val="003B5751"/>
    <w:rsid w:val="003B66F5"/>
    <w:rsid w:val="003C0E4B"/>
    <w:rsid w:val="003C3A6B"/>
    <w:rsid w:val="003C748E"/>
    <w:rsid w:val="003D04D1"/>
    <w:rsid w:val="003D1796"/>
    <w:rsid w:val="003D2C9B"/>
    <w:rsid w:val="003D35BB"/>
    <w:rsid w:val="003D3FE0"/>
    <w:rsid w:val="003D426D"/>
    <w:rsid w:val="003D5AC3"/>
    <w:rsid w:val="003E2E8C"/>
    <w:rsid w:val="003E30DF"/>
    <w:rsid w:val="003F0AD2"/>
    <w:rsid w:val="003F0CEF"/>
    <w:rsid w:val="003F0F36"/>
    <w:rsid w:val="003F3D9D"/>
    <w:rsid w:val="003F4A4E"/>
    <w:rsid w:val="004005A2"/>
    <w:rsid w:val="0040099A"/>
    <w:rsid w:val="004009E9"/>
    <w:rsid w:val="00401A3D"/>
    <w:rsid w:val="004035EE"/>
    <w:rsid w:val="00405603"/>
    <w:rsid w:val="00407954"/>
    <w:rsid w:val="00412FB2"/>
    <w:rsid w:val="004130EF"/>
    <w:rsid w:val="00416A6E"/>
    <w:rsid w:val="00421142"/>
    <w:rsid w:val="004215E9"/>
    <w:rsid w:val="00421A60"/>
    <w:rsid w:val="00422A2B"/>
    <w:rsid w:val="00422BFE"/>
    <w:rsid w:val="004249A7"/>
    <w:rsid w:val="0042696D"/>
    <w:rsid w:val="004271AA"/>
    <w:rsid w:val="0042788B"/>
    <w:rsid w:val="00427D01"/>
    <w:rsid w:val="00430091"/>
    <w:rsid w:val="00430D2D"/>
    <w:rsid w:val="00431F58"/>
    <w:rsid w:val="004340B3"/>
    <w:rsid w:val="00435A33"/>
    <w:rsid w:val="00440BD9"/>
    <w:rsid w:val="004424C9"/>
    <w:rsid w:val="004434DA"/>
    <w:rsid w:val="004441C3"/>
    <w:rsid w:val="00452C46"/>
    <w:rsid w:val="00454611"/>
    <w:rsid w:val="00456680"/>
    <w:rsid w:val="0045671F"/>
    <w:rsid w:val="004575A6"/>
    <w:rsid w:val="00460B48"/>
    <w:rsid w:val="004617E8"/>
    <w:rsid w:val="0046220D"/>
    <w:rsid w:val="00473D74"/>
    <w:rsid w:val="004745E6"/>
    <w:rsid w:val="00474683"/>
    <w:rsid w:val="004748B8"/>
    <w:rsid w:val="00475269"/>
    <w:rsid w:val="00480816"/>
    <w:rsid w:val="004831EF"/>
    <w:rsid w:val="0048563E"/>
    <w:rsid w:val="00486F03"/>
    <w:rsid w:val="004924A0"/>
    <w:rsid w:val="00492AAC"/>
    <w:rsid w:val="004967D8"/>
    <w:rsid w:val="00496F64"/>
    <w:rsid w:val="00497E18"/>
    <w:rsid w:val="004A0664"/>
    <w:rsid w:val="004A1A06"/>
    <w:rsid w:val="004A471D"/>
    <w:rsid w:val="004A52BB"/>
    <w:rsid w:val="004A7815"/>
    <w:rsid w:val="004A79F5"/>
    <w:rsid w:val="004B2916"/>
    <w:rsid w:val="004B30F1"/>
    <w:rsid w:val="004B31EE"/>
    <w:rsid w:val="004B7B84"/>
    <w:rsid w:val="004B7DEC"/>
    <w:rsid w:val="004C016C"/>
    <w:rsid w:val="004C3E51"/>
    <w:rsid w:val="004C4081"/>
    <w:rsid w:val="004C759E"/>
    <w:rsid w:val="004C7ECB"/>
    <w:rsid w:val="004D2360"/>
    <w:rsid w:val="004D23AC"/>
    <w:rsid w:val="004D2973"/>
    <w:rsid w:val="004D642E"/>
    <w:rsid w:val="004D6C73"/>
    <w:rsid w:val="004D7905"/>
    <w:rsid w:val="004E0AD1"/>
    <w:rsid w:val="004E1A81"/>
    <w:rsid w:val="004E3F6D"/>
    <w:rsid w:val="004E411E"/>
    <w:rsid w:val="004E4E06"/>
    <w:rsid w:val="004F119C"/>
    <w:rsid w:val="004F1CBE"/>
    <w:rsid w:val="004F39F3"/>
    <w:rsid w:val="004F4D72"/>
    <w:rsid w:val="00500138"/>
    <w:rsid w:val="00500F83"/>
    <w:rsid w:val="00502278"/>
    <w:rsid w:val="005030DA"/>
    <w:rsid w:val="00505415"/>
    <w:rsid w:val="00506CE9"/>
    <w:rsid w:val="00506D2F"/>
    <w:rsid w:val="0051425D"/>
    <w:rsid w:val="00516EFD"/>
    <w:rsid w:val="00517305"/>
    <w:rsid w:val="00520C64"/>
    <w:rsid w:val="00521E38"/>
    <w:rsid w:val="00525B13"/>
    <w:rsid w:val="00526796"/>
    <w:rsid w:val="0053017B"/>
    <w:rsid w:val="005309EA"/>
    <w:rsid w:val="0053677D"/>
    <w:rsid w:val="00536D1E"/>
    <w:rsid w:val="00537439"/>
    <w:rsid w:val="00542F7E"/>
    <w:rsid w:val="005431B1"/>
    <w:rsid w:val="005440ED"/>
    <w:rsid w:val="00545149"/>
    <w:rsid w:val="00545F68"/>
    <w:rsid w:val="00546E96"/>
    <w:rsid w:val="00550CC7"/>
    <w:rsid w:val="00554849"/>
    <w:rsid w:val="0055532D"/>
    <w:rsid w:val="00555BE0"/>
    <w:rsid w:val="00557A70"/>
    <w:rsid w:val="005616DD"/>
    <w:rsid w:val="0056206C"/>
    <w:rsid w:val="00567846"/>
    <w:rsid w:val="0057238E"/>
    <w:rsid w:val="00572480"/>
    <w:rsid w:val="00573688"/>
    <w:rsid w:val="0057427F"/>
    <w:rsid w:val="0057560D"/>
    <w:rsid w:val="00576EDE"/>
    <w:rsid w:val="00577F61"/>
    <w:rsid w:val="00582109"/>
    <w:rsid w:val="00582554"/>
    <w:rsid w:val="0059254B"/>
    <w:rsid w:val="00592A4D"/>
    <w:rsid w:val="00592B33"/>
    <w:rsid w:val="00597416"/>
    <w:rsid w:val="005A0EB0"/>
    <w:rsid w:val="005A3C27"/>
    <w:rsid w:val="005A4916"/>
    <w:rsid w:val="005A4933"/>
    <w:rsid w:val="005B5A24"/>
    <w:rsid w:val="005C16BA"/>
    <w:rsid w:val="005C4334"/>
    <w:rsid w:val="005C65BB"/>
    <w:rsid w:val="005C7B48"/>
    <w:rsid w:val="005D2A13"/>
    <w:rsid w:val="005D2BCE"/>
    <w:rsid w:val="005D2E7C"/>
    <w:rsid w:val="005D3370"/>
    <w:rsid w:val="005E12D1"/>
    <w:rsid w:val="005E2FD2"/>
    <w:rsid w:val="005E7F7A"/>
    <w:rsid w:val="005F25B4"/>
    <w:rsid w:val="005F29E5"/>
    <w:rsid w:val="005F2EAC"/>
    <w:rsid w:val="005F3323"/>
    <w:rsid w:val="00601A99"/>
    <w:rsid w:val="0060464F"/>
    <w:rsid w:val="00607252"/>
    <w:rsid w:val="00610365"/>
    <w:rsid w:val="0061132A"/>
    <w:rsid w:val="0061437A"/>
    <w:rsid w:val="00615FA2"/>
    <w:rsid w:val="00621041"/>
    <w:rsid w:val="006221EE"/>
    <w:rsid w:val="006225D6"/>
    <w:rsid w:val="00622B46"/>
    <w:rsid w:val="00626B3B"/>
    <w:rsid w:val="00626DA6"/>
    <w:rsid w:val="00627896"/>
    <w:rsid w:val="00627988"/>
    <w:rsid w:val="006303C9"/>
    <w:rsid w:val="006316BE"/>
    <w:rsid w:val="0063409D"/>
    <w:rsid w:val="00634DFF"/>
    <w:rsid w:val="00635220"/>
    <w:rsid w:val="006358F4"/>
    <w:rsid w:val="00637F81"/>
    <w:rsid w:val="006426C9"/>
    <w:rsid w:val="006450DA"/>
    <w:rsid w:val="006468B9"/>
    <w:rsid w:val="00646A79"/>
    <w:rsid w:val="00646E15"/>
    <w:rsid w:val="00646EDF"/>
    <w:rsid w:val="006474DC"/>
    <w:rsid w:val="00647C51"/>
    <w:rsid w:val="0065579F"/>
    <w:rsid w:val="006578C7"/>
    <w:rsid w:val="00664BE7"/>
    <w:rsid w:val="00664D72"/>
    <w:rsid w:val="00665F8C"/>
    <w:rsid w:val="00670AAF"/>
    <w:rsid w:val="006727F7"/>
    <w:rsid w:val="006736BA"/>
    <w:rsid w:val="00675B9F"/>
    <w:rsid w:val="0067773C"/>
    <w:rsid w:val="00680791"/>
    <w:rsid w:val="006809A3"/>
    <w:rsid w:val="00683693"/>
    <w:rsid w:val="006849C7"/>
    <w:rsid w:val="006905A1"/>
    <w:rsid w:val="00691C65"/>
    <w:rsid w:val="0069297C"/>
    <w:rsid w:val="00693EF6"/>
    <w:rsid w:val="0069494E"/>
    <w:rsid w:val="00695ABA"/>
    <w:rsid w:val="006A3C80"/>
    <w:rsid w:val="006A496C"/>
    <w:rsid w:val="006A62D9"/>
    <w:rsid w:val="006B0C15"/>
    <w:rsid w:val="006B1432"/>
    <w:rsid w:val="006B3531"/>
    <w:rsid w:val="006B5462"/>
    <w:rsid w:val="006B6F13"/>
    <w:rsid w:val="006C137D"/>
    <w:rsid w:val="006C1BFC"/>
    <w:rsid w:val="006C26CD"/>
    <w:rsid w:val="006C2904"/>
    <w:rsid w:val="006C4A5E"/>
    <w:rsid w:val="006D0022"/>
    <w:rsid w:val="006D2D6D"/>
    <w:rsid w:val="006D346C"/>
    <w:rsid w:val="006D47B2"/>
    <w:rsid w:val="006D4B1E"/>
    <w:rsid w:val="006D5FF3"/>
    <w:rsid w:val="006D67DD"/>
    <w:rsid w:val="006E11E8"/>
    <w:rsid w:val="006E2AE6"/>
    <w:rsid w:val="006E479A"/>
    <w:rsid w:val="006E6782"/>
    <w:rsid w:val="006E7495"/>
    <w:rsid w:val="006F0F7E"/>
    <w:rsid w:val="006F3612"/>
    <w:rsid w:val="006F5F4C"/>
    <w:rsid w:val="00703A05"/>
    <w:rsid w:val="00706026"/>
    <w:rsid w:val="00707B1B"/>
    <w:rsid w:val="00707CB2"/>
    <w:rsid w:val="0071183D"/>
    <w:rsid w:val="00711C03"/>
    <w:rsid w:val="00713FC9"/>
    <w:rsid w:val="007146F0"/>
    <w:rsid w:val="007159C8"/>
    <w:rsid w:val="00715E6F"/>
    <w:rsid w:val="00721536"/>
    <w:rsid w:val="0072238F"/>
    <w:rsid w:val="00722A5D"/>
    <w:rsid w:val="007262C7"/>
    <w:rsid w:val="0073071A"/>
    <w:rsid w:val="00730A2B"/>
    <w:rsid w:val="00732B1A"/>
    <w:rsid w:val="00734D26"/>
    <w:rsid w:val="00740D66"/>
    <w:rsid w:val="0074273C"/>
    <w:rsid w:val="00745437"/>
    <w:rsid w:val="00746073"/>
    <w:rsid w:val="00747DF9"/>
    <w:rsid w:val="00751180"/>
    <w:rsid w:val="00752009"/>
    <w:rsid w:val="00754836"/>
    <w:rsid w:val="00755989"/>
    <w:rsid w:val="00757E5E"/>
    <w:rsid w:val="007621B7"/>
    <w:rsid w:val="0076329C"/>
    <w:rsid w:val="00763EE6"/>
    <w:rsid w:val="00765010"/>
    <w:rsid w:val="00767AC0"/>
    <w:rsid w:val="00771132"/>
    <w:rsid w:val="00771199"/>
    <w:rsid w:val="007719EB"/>
    <w:rsid w:val="007719F2"/>
    <w:rsid w:val="00773489"/>
    <w:rsid w:val="00775BAB"/>
    <w:rsid w:val="00775E8E"/>
    <w:rsid w:val="00780530"/>
    <w:rsid w:val="00781803"/>
    <w:rsid w:val="00781B22"/>
    <w:rsid w:val="00782A3F"/>
    <w:rsid w:val="0078512E"/>
    <w:rsid w:val="00787578"/>
    <w:rsid w:val="00787EBE"/>
    <w:rsid w:val="0079214E"/>
    <w:rsid w:val="0079316C"/>
    <w:rsid w:val="00795C1A"/>
    <w:rsid w:val="00796A5E"/>
    <w:rsid w:val="00796B83"/>
    <w:rsid w:val="00797381"/>
    <w:rsid w:val="00797CA5"/>
    <w:rsid w:val="007A1838"/>
    <w:rsid w:val="007A65F5"/>
    <w:rsid w:val="007A70E6"/>
    <w:rsid w:val="007B190D"/>
    <w:rsid w:val="007B2C7D"/>
    <w:rsid w:val="007B3605"/>
    <w:rsid w:val="007B3D68"/>
    <w:rsid w:val="007B4D00"/>
    <w:rsid w:val="007B5EF0"/>
    <w:rsid w:val="007B69B2"/>
    <w:rsid w:val="007B747C"/>
    <w:rsid w:val="007C12AE"/>
    <w:rsid w:val="007C2F3D"/>
    <w:rsid w:val="007C3ABA"/>
    <w:rsid w:val="007C4A30"/>
    <w:rsid w:val="007C68D8"/>
    <w:rsid w:val="007D08C6"/>
    <w:rsid w:val="007D1997"/>
    <w:rsid w:val="007D1FCB"/>
    <w:rsid w:val="007D2603"/>
    <w:rsid w:val="007D2B32"/>
    <w:rsid w:val="007D3CA5"/>
    <w:rsid w:val="007D4C5E"/>
    <w:rsid w:val="007D5414"/>
    <w:rsid w:val="007D65CC"/>
    <w:rsid w:val="007D6EE2"/>
    <w:rsid w:val="007E029D"/>
    <w:rsid w:val="007E1F74"/>
    <w:rsid w:val="007E2727"/>
    <w:rsid w:val="007E2CA0"/>
    <w:rsid w:val="007E67CF"/>
    <w:rsid w:val="007E7071"/>
    <w:rsid w:val="007F0057"/>
    <w:rsid w:val="007F0792"/>
    <w:rsid w:val="007F3A94"/>
    <w:rsid w:val="007F4E5D"/>
    <w:rsid w:val="007F5177"/>
    <w:rsid w:val="00800AC5"/>
    <w:rsid w:val="0080609A"/>
    <w:rsid w:val="00811E0F"/>
    <w:rsid w:val="00814795"/>
    <w:rsid w:val="00815FE1"/>
    <w:rsid w:val="008164F5"/>
    <w:rsid w:val="00816843"/>
    <w:rsid w:val="00816CBD"/>
    <w:rsid w:val="00816D61"/>
    <w:rsid w:val="00820B1F"/>
    <w:rsid w:val="00820DC2"/>
    <w:rsid w:val="0082242B"/>
    <w:rsid w:val="008226A2"/>
    <w:rsid w:val="00822848"/>
    <w:rsid w:val="00822A26"/>
    <w:rsid w:val="00824224"/>
    <w:rsid w:val="00825BE6"/>
    <w:rsid w:val="008271CC"/>
    <w:rsid w:val="008274F2"/>
    <w:rsid w:val="008302D2"/>
    <w:rsid w:val="0083129A"/>
    <w:rsid w:val="008316DF"/>
    <w:rsid w:val="008327CC"/>
    <w:rsid w:val="00832FD9"/>
    <w:rsid w:val="0083442D"/>
    <w:rsid w:val="0083586E"/>
    <w:rsid w:val="008407E3"/>
    <w:rsid w:val="00844500"/>
    <w:rsid w:val="00844B47"/>
    <w:rsid w:val="00844B90"/>
    <w:rsid w:val="00844FB9"/>
    <w:rsid w:val="008459DF"/>
    <w:rsid w:val="008515FA"/>
    <w:rsid w:val="00853A87"/>
    <w:rsid w:val="00855049"/>
    <w:rsid w:val="00857929"/>
    <w:rsid w:val="0086004F"/>
    <w:rsid w:val="00862833"/>
    <w:rsid w:val="00863631"/>
    <w:rsid w:val="00864638"/>
    <w:rsid w:val="00864C22"/>
    <w:rsid w:val="00864F86"/>
    <w:rsid w:val="00867CB1"/>
    <w:rsid w:val="00872035"/>
    <w:rsid w:val="0087235E"/>
    <w:rsid w:val="00874518"/>
    <w:rsid w:val="00875D7C"/>
    <w:rsid w:val="0087678A"/>
    <w:rsid w:val="008801EE"/>
    <w:rsid w:val="008821F8"/>
    <w:rsid w:val="00884DD7"/>
    <w:rsid w:val="00885609"/>
    <w:rsid w:val="00892A99"/>
    <w:rsid w:val="00893A7C"/>
    <w:rsid w:val="008958C6"/>
    <w:rsid w:val="008962EF"/>
    <w:rsid w:val="008A364E"/>
    <w:rsid w:val="008A6C49"/>
    <w:rsid w:val="008A6CB5"/>
    <w:rsid w:val="008A7FD4"/>
    <w:rsid w:val="008B44C5"/>
    <w:rsid w:val="008B5851"/>
    <w:rsid w:val="008B5FD6"/>
    <w:rsid w:val="008B75FE"/>
    <w:rsid w:val="008C002F"/>
    <w:rsid w:val="008C1B5D"/>
    <w:rsid w:val="008C3269"/>
    <w:rsid w:val="008C3CD6"/>
    <w:rsid w:val="008C45DC"/>
    <w:rsid w:val="008C4E87"/>
    <w:rsid w:val="008D0078"/>
    <w:rsid w:val="008D177D"/>
    <w:rsid w:val="008D2F30"/>
    <w:rsid w:val="008D3525"/>
    <w:rsid w:val="008D3D05"/>
    <w:rsid w:val="008D5279"/>
    <w:rsid w:val="008D6097"/>
    <w:rsid w:val="008D6851"/>
    <w:rsid w:val="008D6C70"/>
    <w:rsid w:val="008D779C"/>
    <w:rsid w:val="008D7ACB"/>
    <w:rsid w:val="008E0D15"/>
    <w:rsid w:val="008E2BC9"/>
    <w:rsid w:val="008E3513"/>
    <w:rsid w:val="008E7035"/>
    <w:rsid w:val="008E7176"/>
    <w:rsid w:val="008E766E"/>
    <w:rsid w:val="008F0E30"/>
    <w:rsid w:val="008F545A"/>
    <w:rsid w:val="008F5461"/>
    <w:rsid w:val="008F60F4"/>
    <w:rsid w:val="00901FEB"/>
    <w:rsid w:val="0090214A"/>
    <w:rsid w:val="00902333"/>
    <w:rsid w:val="00902A5F"/>
    <w:rsid w:val="009034F7"/>
    <w:rsid w:val="00903965"/>
    <w:rsid w:val="0090489C"/>
    <w:rsid w:val="00905E99"/>
    <w:rsid w:val="00906378"/>
    <w:rsid w:val="00906CFF"/>
    <w:rsid w:val="00910C7F"/>
    <w:rsid w:val="009117B9"/>
    <w:rsid w:val="0091312B"/>
    <w:rsid w:val="00913AE8"/>
    <w:rsid w:val="009164AE"/>
    <w:rsid w:val="009171C7"/>
    <w:rsid w:val="00917C0D"/>
    <w:rsid w:val="00917C74"/>
    <w:rsid w:val="00921BA2"/>
    <w:rsid w:val="00922119"/>
    <w:rsid w:val="009234DF"/>
    <w:rsid w:val="00932156"/>
    <w:rsid w:val="0093229E"/>
    <w:rsid w:val="009323E8"/>
    <w:rsid w:val="00933739"/>
    <w:rsid w:val="0093397C"/>
    <w:rsid w:val="00937EC2"/>
    <w:rsid w:val="009443DD"/>
    <w:rsid w:val="009471ED"/>
    <w:rsid w:val="00950F6F"/>
    <w:rsid w:val="00951EA8"/>
    <w:rsid w:val="00953C6D"/>
    <w:rsid w:val="00955099"/>
    <w:rsid w:val="0095532F"/>
    <w:rsid w:val="00961D5E"/>
    <w:rsid w:val="009657FF"/>
    <w:rsid w:val="00965C84"/>
    <w:rsid w:val="00965D73"/>
    <w:rsid w:val="00967D9D"/>
    <w:rsid w:val="0097074B"/>
    <w:rsid w:val="00970E1B"/>
    <w:rsid w:val="00971C47"/>
    <w:rsid w:val="00972B1E"/>
    <w:rsid w:val="009732C0"/>
    <w:rsid w:val="00973A70"/>
    <w:rsid w:val="00973EB1"/>
    <w:rsid w:val="009776FE"/>
    <w:rsid w:val="00980EFF"/>
    <w:rsid w:val="00981CA3"/>
    <w:rsid w:val="00983AC8"/>
    <w:rsid w:val="00984A8A"/>
    <w:rsid w:val="00985259"/>
    <w:rsid w:val="0099185B"/>
    <w:rsid w:val="00992F66"/>
    <w:rsid w:val="00994B3F"/>
    <w:rsid w:val="00997520"/>
    <w:rsid w:val="009A01F4"/>
    <w:rsid w:val="009A0CE5"/>
    <w:rsid w:val="009A11B7"/>
    <w:rsid w:val="009A1D15"/>
    <w:rsid w:val="009A6CD8"/>
    <w:rsid w:val="009A7FE2"/>
    <w:rsid w:val="009B5664"/>
    <w:rsid w:val="009B6E3F"/>
    <w:rsid w:val="009B709A"/>
    <w:rsid w:val="009B7E16"/>
    <w:rsid w:val="009C35D3"/>
    <w:rsid w:val="009C55CF"/>
    <w:rsid w:val="009C70B7"/>
    <w:rsid w:val="009C76E1"/>
    <w:rsid w:val="009D3313"/>
    <w:rsid w:val="009D4FA4"/>
    <w:rsid w:val="009E4539"/>
    <w:rsid w:val="009E5FF7"/>
    <w:rsid w:val="009E6659"/>
    <w:rsid w:val="009E6D4F"/>
    <w:rsid w:val="009E7706"/>
    <w:rsid w:val="009F15D2"/>
    <w:rsid w:val="009F1D68"/>
    <w:rsid w:val="009F3DD8"/>
    <w:rsid w:val="009F491E"/>
    <w:rsid w:val="009F5AFE"/>
    <w:rsid w:val="009F6256"/>
    <w:rsid w:val="009F714E"/>
    <w:rsid w:val="00A0092B"/>
    <w:rsid w:val="00A01A42"/>
    <w:rsid w:val="00A0218B"/>
    <w:rsid w:val="00A023C1"/>
    <w:rsid w:val="00A04ECA"/>
    <w:rsid w:val="00A068CF"/>
    <w:rsid w:val="00A06F83"/>
    <w:rsid w:val="00A118DB"/>
    <w:rsid w:val="00A14607"/>
    <w:rsid w:val="00A20706"/>
    <w:rsid w:val="00A2115E"/>
    <w:rsid w:val="00A21968"/>
    <w:rsid w:val="00A22D98"/>
    <w:rsid w:val="00A402B0"/>
    <w:rsid w:val="00A4099F"/>
    <w:rsid w:val="00A416D9"/>
    <w:rsid w:val="00A4414B"/>
    <w:rsid w:val="00A451EF"/>
    <w:rsid w:val="00A46D72"/>
    <w:rsid w:val="00A50AB3"/>
    <w:rsid w:val="00A53489"/>
    <w:rsid w:val="00A538CA"/>
    <w:rsid w:val="00A539D7"/>
    <w:rsid w:val="00A53B1F"/>
    <w:rsid w:val="00A56AEC"/>
    <w:rsid w:val="00A5770B"/>
    <w:rsid w:val="00A57E5A"/>
    <w:rsid w:val="00A6213C"/>
    <w:rsid w:val="00A62A3F"/>
    <w:rsid w:val="00A62F66"/>
    <w:rsid w:val="00A65588"/>
    <w:rsid w:val="00A657D7"/>
    <w:rsid w:val="00A65862"/>
    <w:rsid w:val="00A678C4"/>
    <w:rsid w:val="00A709D2"/>
    <w:rsid w:val="00A71B25"/>
    <w:rsid w:val="00A72E86"/>
    <w:rsid w:val="00A759E6"/>
    <w:rsid w:val="00A75FFE"/>
    <w:rsid w:val="00A77C04"/>
    <w:rsid w:val="00A823C2"/>
    <w:rsid w:val="00A8571A"/>
    <w:rsid w:val="00A863F3"/>
    <w:rsid w:val="00A86C72"/>
    <w:rsid w:val="00A86D5F"/>
    <w:rsid w:val="00A87D3B"/>
    <w:rsid w:val="00A911A1"/>
    <w:rsid w:val="00A9452B"/>
    <w:rsid w:val="00A96B6E"/>
    <w:rsid w:val="00A96DBB"/>
    <w:rsid w:val="00A97B18"/>
    <w:rsid w:val="00A97CD1"/>
    <w:rsid w:val="00AA101D"/>
    <w:rsid w:val="00AA41AA"/>
    <w:rsid w:val="00AB174C"/>
    <w:rsid w:val="00AB1826"/>
    <w:rsid w:val="00AB196C"/>
    <w:rsid w:val="00AB26BF"/>
    <w:rsid w:val="00AB3448"/>
    <w:rsid w:val="00AB3AEF"/>
    <w:rsid w:val="00AB502B"/>
    <w:rsid w:val="00AB54EA"/>
    <w:rsid w:val="00AB5608"/>
    <w:rsid w:val="00AB5D89"/>
    <w:rsid w:val="00AB6284"/>
    <w:rsid w:val="00AB6C38"/>
    <w:rsid w:val="00AB71DE"/>
    <w:rsid w:val="00AB735A"/>
    <w:rsid w:val="00AC0A9D"/>
    <w:rsid w:val="00AC45AF"/>
    <w:rsid w:val="00AC6825"/>
    <w:rsid w:val="00AD0B81"/>
    <w:rsid w:val="00AD2177"/>
    <w:rsid w:val="00AD3973"/>
    <w:rsid w:val="00AD4414"/>
    <w:rsid w:val="00AD4619"/>
    <w:rsid w:val="00AD5ADF"/>
    <w:rsid w:val="00AE0158"/>
    <w:rsid w:val="00AE131D"/>
    <w:rsid w:val="00AE2F54"/>
    <w:rsid w:val="00AF0501"/>
    <w:rsid w:val="00AF321C"/>
    <w:rsid w:val="00AF795D"/>
    <w:rsid w:val="00B00353"/>
    <w:rsid w:val="00B00CB7"/>
    <w:rsid w:val="00B013C8"/>
    <w:rsid w:val="00B018BD"/>
    <w:rsid w:val="00B01CB9"/>
    <w:rsid w:val="00B14745"/>
    <w:rsid w:val="00B17FA1"/>
    <w:rsid w:val="00B20626"/>
    <w:rsid w:val="00B20B1B"/>
    <w:rsid w:val="00B23223"/>
    <w:rsid w:val="00B27CB4"/>
    <w:rsid w:val="00B30E8A"/>
    <w:rsid w:val="00B32062"/>
    <w:rsid w:val="00B32C83"/>
    <w:rsid w:val="00B37E48"/>
    <w:rsid w:val="00B400DF"/>
    <w:rsid w:val="00B40A29"/>
    <w:rsid w:val="00B44925"/>
    <w:rsid w:val="00B44B86"/>
    <w:rsid w:val="00B45BF1"/>
    <w:rsid w:val="00B46180"/>
    <w:rsid w:val="00B50CF7"/>
    <w:rsid w:val="00B538FA"/>
    <w:rsid w:val="00B55751"/>
    <w:rsid w:val="00B56CE5"/>
    <w:rsid w:val="00B57328"/>
    <w:rsid w:val="00B6160B"/>
    <w:rsid w:val="00B64D4A"/>
    <w:rsid w:val="00B70BE1"/>
    <w:rsid w:val="00B73880"/>
    <w:rsid w:val="00B7397C"/>
    <w:rsid w:val="00B74EA0"/>
    <w:rsid w:val="00B77985"/>
    <w:rsid w:val="00B82DD8"/>
    <w:rsid w:val="00B833C7"/>
    <w:rsid w:val="00B90D63"/>
    <w:rsid w:val="00B9121B"/>
    <w:rsid w:val="00B91F0F"/>
    <w:rsid w:val="00B9282C"/>
    <w:rsid w:val="00B948C6"/>
    <w:rsid w:val="00B95E71"/>
    <w:rsid w:val="00B96068"/>
    <w:rsid w:val="00BA1B63"/>
    <w:rsid w:val="00BA2631"/>
    <w:rsid w:val="00BA2817"/>
    <w:rsid w:val="00BA7F90"/>
    <w:rsid w:val="00BB0803"/>
    <w:rsid w:val="00BB3B32"/>
    <w:rsid w:val="00BB5248"/>
    <w:rsid w:val="00BB5B0D"/>
    <w:rsid w:val="00BB6A6A"/>
    <w:rsid w:val="00BC1A45"/>
    <w:rsid w:val="00BC2476"/>
    <w:rsid w:val="00BC2BEF"/>
    <w:rsid w:val="00BC3B7C"/>
    <w:rsid w:val="00BC4322"/>
    <w:rsid w:val="00BC55CD"/>
    <w:rsid w:val="00BE17A2"/>
    <w:rsid w:val="00BE4EBB"/>
    <w:rsid w:val="00BE54FF"/>
    <w:rsid w:val="00BF1972"/>
    <w:rsid w:val="00BF311C"/>
    <w:rsid w:val="00BF3DE2"/>
    <w:rsid w:val="00BF588E"/>
    <w:rsid w:val="00BF6568"/>
    <w:rsid w:val="00C00A74"/>
    <w:rsid w:val="00C0164E"/>
    <w:rsid w:val="00C01AED"/>
    <w:rsid w:val="00C01FD5"/>
    <w:rsid w:val="00C0441B"/>
    <w:rsid w:val="00C049D2"/>
    <w:rsid w:val="00C0632D"/>
    <w:rsid w:val="00C07444"/>
    <w:rsid w:val="00C12CCD"/>
    <w:rsid w:val="00C12E03"/>
    <w:rsid w:val="00C140C6"/>
    <w:rsid w:val="00C14F45"/>
    <w:rsid w:val="00C152D0"/>
    <w:rsid w:val="00C15E02"/>
    <w:rsid w:val="00C169BF"/>
    <w:rsid w:val="00C225DE"/>
    <w:rsid w:val="00C24D91"/>
    <w:rsid w:val="00C24FB2"/>
    <w:rsid w:val="00C25B9C"/>
    <w:rsid w:val="00C25FEE"/>
    <w:rsid w:val="00C2695F"/>
    <w:rsid w:val="00C32E95"/>
    <w:rsid w:val="00C3427C"/>
    <w:rsid w:val="00C35BED"/>
    <w:rsid w:val="00C37F2B"/>
    <w:rsid w:val="00C4021D"/>
    <w:rsid w:val="00C41A06"/>
    <w:rsid w:val="00C42049"/>
    <w:rsid w:val="00C465F8"/>
    <w:rsid w:val="00C46622"/>
    <w:rsid w:val="00C46A14"/>
    <w:rsid w:val="00C46E47"/>
    <w:rsid w:val="00C5214A"/>
    <w:rsid w:val="00C5363C"/>
    <w:rsid w:val="00C54F46"/>
    <w:rsid w:val="00C55DD1"/>
    <w:rsid w:val="00C57148"/>
    <w:rsid w:val="00C61016"/>
    <w:rsid w:val="00C6136C"/>
    <w:rsid w:val="00C622F9"/>
    <w:rsid w:val="00C65692"/>
    <w:rsid w:val="00C701D8"/>
    <w:rsid w:val="00C70DFE"/>
    <w:rsid w:val="00C7365D"/>
    <w:rsid w:val="00C80C97"/>
    <w:rsid w:val="00C81078"/>
    <w:rsid w:val="00C82476"/>
    <w:rsid w:val="00C8714A"/>
    <w:rsid w:val="00C92045"/>
    <w:rsid w:val="00C92F39"/>
    <w:rsid w:val="00C952F6"/>
    <w:rsid w:val="00C95CFD"/>
    <w:rsid w:val="00CA1AA2"/>
    <w:rsid w:val="00CA2077"/>
    <w:rsid w:val="00CA22B4"/>
    <w:rsid w:val="00CA2888"/>
    <w:rsid w:val="00CA2F4A"/>
    <w:rsid w:val="00CA40B7"/>
    <w:rsid w:val="00CA4B2D"/>
    <w:rsid w:val="00CA4D24"/>
    <w:rsid w:val="00CA5B29"/>
    <w:rsid w:val="00CA6646"/>
    <w:rsid w:val="00CA6C21"/>
    <w:rsid w:val="00CB2572"/>
    <w:rsid w:val="00CC04B3"/>
    <w:rsid w:val="00CC38C6"/>
    <w:rsid w:val="00CC41AC"/>
    <w:rsid w:val="00CC787F"/>
    <w:rsid w:val="00CD0BFE"/>
    <w:rsid w:val="00CD2E52"/>
    <w:rsid w:val="00CD47B7"/>
    <w:rsid w:val="00CE2B91"/>
    <w:rsid w:val="00CE3019"/>
    <w:rsid w:val="00CE43FE"/>
    <w:rsid w:val="00CE474B"/>
    <w:rsid w:val="00CE5428"/>
    <w:rsid w:val="00CE5D3A"/>
    <w:rsid w:val="00CE66C0"/>
    <w:rsid w:val="00CE79CE"/>
    <w:rsid w:val="00CF313C"/>
    <w:rsid w:val="00CF41DB"/>
    <w:rsid w:val="00CF6061"/>
    <w:rsid w:val="00D00510"/>
    <w:rsid w:val="00D00ED6"/>
    <w:rsid w:val="00D04B09"/>
    <w:rsid w:val="00D05673"/>
    <w:rsid w:val="00D05F66"/>
    <w:rsid w:val="00D06B66"/>
    <w:rsid w:val="00D077C4"/>
    <w:rsid w:val="00D11BB4"/>
    <w:rsid w:val="00D11F7E"/>
    <w:rsid w:val="00D13464"/>
    <w:rsid w:val="00D20028"/>
    <w:rsid w:val="00D21D8D"/>
    <w:rsid w:val="00D22B40"/>
    <w:rsid w:val="00D238CD"/>
    <w:rsid w:val="00D24FB1"/>
    <w:rsid w:val="00D264A8"/>
    <w:rsid w:val="00D27DB8"/>
    <w:rsid w:val="00D333FF"/>
    <w:rsid w:val="00D34887"/>
    <w:rsid w:val="00D35E86"/>
    <w:rsid w:val="00D36770"/>
    <w:rsid w:val="00D36CA5"/>
    <w:rsid w:val="00D418B5"/>
    <w:rsid w:val="00D42384"/>
    <w:rsid w:val="00D47238"/>
    <w:rsid w:val="00D534B5"/>
    <w:rsid w:val="00D558ED"/>
    <w:rsid w:val="00D55D97"/>
    <w:rsid w:val="00D5656E"/>
    <w:rsid w:val="00D60576"/>
    <w:rsid w:val="00D6158B"/>
    <w:rsid w:val="00D636FD"/>
    <w:rsid w:val="00D63A9F"/>
    <w:rsid w:val="00D65881"/>
    <w:rsid w:val="00D6652A"/>
    <w:rsid w:val="00D66B5A"/>
    <w:rsid w:val="00D70FC3"/>
    <w:rsid w:val="00D802A9"/>
    <w:rsid w:val="00D839B7"/>
    <w:rsid w:val="00D863E4"/>
    <w:rsid w:val="00D90685"/>
    <w:rsid w:val="00D9264A"/>
    <w:rsid w:val="00D9356D"/>
    <w:rsid w:val="00D938D5"/>
    <w:rsid w:val="00D952E6"/>
    <w:rsid w:val="00D966EB"/>
    <w:rsid w:val="00DA160F"/>
    <w:rsid w:val="00DA2EB9"/>
    <w:rsid w:val="00DA5C34"/>
    <w:rsid w:val="00DA767C"/>
    <w:rsid w:val="00DA7D10"/>
    <w:rsid w:val="00DB0DDB"/>
    <w:rsid w:val="00DB1223"/>
    <w:rsid w:val="00DB55B5"/>
    <w:rsid w:val="00DC1402"/>
    <w:rsid w:val="00DC2401"/>
    <w:rsid w:val="00DC2876"/>
    <w:rsid w:val="00DC4E40"/>
    <w:rsid w:val="00DC51FB"/>
    <w:rsid w:val="00DC5F9F"/>
    <w:rsid w:val="00DC70B6"/>
    <w:rsid w:val="00DC7472"/>
    <w:rsid w:val="00DD08B1"/>
    <w:rsid w:val="00DD0960"/>
    <w:rsid w:val="00DD7489"/>
    <w:rsid w:val="00DE6A8E"/>
    <w:rsid w:val="00DF10A4"/>
    <w:rsid w:val="00DF119A"/>
    <w:rsid w:val="00DF186F"/>
    <w:rsid w:val="00DF25E0"/>
    <w:rsid w:val="00DF41B7"/>
    <w:rsid w:val="00DF4B20"/>
    <w:rsid w:val="00DF6133"/>
    <w:rsid w:val="00DF6D85"/>
    <w:rsid w:val="00E03014"/>
    <w:rsid w:val="00E041D7"/>
    <w:rsid w:val="00E05DF7"/>
    <w:rsid w:val="00E06935"/>
    <w:rsid w:val="00E10448"/>
    <w:rsid w:val="00E119E6"/>
    <w:rsid w:val="00E16801"/>
    <w:rsid w:val="00E27C93"/>
    <w:rsid w:val="00E30BD6"/>
    <w:rsid w:val="00E30E63"/>
    <w:rsid w:val="00E30F42"/>
    <w:rsid w:val="00E34513"/>
    <w:rsid w:val="00E34526"/>
    <w:rsid w:val="00E36C18"/>
    <w:rsid w:val="00E37E4D"/>
    <w:rsid w:val="00E41EAE"/>
    <w:rsid w:val="00E42008"/>
    <w:rsid w:val="00E42A4C"/>
    <w:rsid w:val="00E43055"/>
    <w:rsid w:val="00E44116"/>
    <w:rsid w:val="00E44598"/>
    <w:rsid w:val="00E539EC"/>
    <w:rsid w:val="00E56514"/>
    <w:rsid w:val="00E569EE"/>
    <w:rsid w:val="00E60DDE"/>
    <w:rsid w:val="00E62B11"/>
    <w:rsid w:val="00E6308F"/>
    <w:rsid w:val="00E6391E"/>
    <w:rsid w:val="00E64DD1"/>
    <w:rsid w:val="00E673A7"/>
    <w:rsid w:val="00E675BE"/>
    <w:rsid w:val="00E719F5"/>
    <w:rsid w:val="00E721A0"/>
    <w:rsid w:val="00E75DD7"/>
    <w:rsid w:val="00E77629"/>
    <w:rsid w:val="00E8213E"/>
    <w:rsid w:val="00E82ABE"/>
    <w:rsid w:val="00E84EF6"/>
    <w:rsid w:val="00E85954"/>
    <w:rsid w:val="00E86005"/>
    <w:rsid w:val="00E9017D"/>
    <w:rsid w:val="00E90A80"/>
    <w:rsid w:val="00E917F8"/>
    <w:rsid w:val="00E92192"/>
    <w:rsid w:val="00E92EC3"/>
    <w:rsid w:val="00E9475C"/>
    <w:rsid w:val="00E956D4"/>
    <w:rsid w:val="00E956DD"/>
    <w:rsid w:val="00E95BA7"/>
    <w:rsid w:val="00EA2A8B"/>
    <w:rsid w:val="00EA496D"/>
    <w:rsid w:val="00EA5CAB"/>
    <w:rsid w:val="00EA7E8C"/>
    <w:rsid w:val="00EB1893"/>
    <w:rsid w:val="00EB2E22"/>
    <w:rsid w:val="00EB64B6"/>
    <w:rsid w:val="00EC0AF8"/>
    <w:rsid w:val="00EC1369"/>
    <w:rsid w:val="00EC13CB"/>
    <w:rsid w:val="00EC18DC"/>
    <w:rsid w:val="00EC1B4F"/>
    <w:rsid w:val="00EC7D64"/>
    <w:rsid w:val="00ED2A54"/>
    <w:rsid w:val="00ED2DE9"/>
    <w:rsid w:val="00ED7F51"/>
    <w:rsid w:val="00EE0863"/>
    <w:rsid w:val="00EE129A"/>
    <w:rsid w:val="00EE13A1"/>
    <w:rsid w:val="00EE1D9A"/>
    <w:rsid w:val="00EE3C72"/>
    <w:rsid w:val="00EE4951"/>
    <w:rsid w:val="00EE6F86"/>
    <w:rsid w:val="00EF084D"/>
    <w:rsid w:val="00EF12F8"/>
    <w:rsid w:val="00EF1309"/>
    <w:rsid w:val="00EF4263"/>
    <w:rsid w:val="00EF4654"/>
    <w:rsid w:val="00EF5D57"/>
    <w:rsid w:val="00EF695C"/>
    <w:rsid w:val="00EF775C"/>
    <w:rsid w:val="00F04213"/>
    <w:rsid w:val="00F049E8"/>
    <w:rsid w:val="00F04DD1"/>
    <w:rsid w:val="00F1026D"/>
    <w:rsid w:val="00F1095F"/>
    <w:rsid w:val="00F10CC1"/>
    <w:rsid w:val="00F12489"/>
    <w:rsid w:val="00F13D7E"/>
    <w:rsid w:val="00F15863"/>
    <w:rsid w:val="00F17F8A"/>
    <w:rsid w:val="00F23349"/>
    <w:rsid w:val="00F23E64"/>
    <w:rsid w:val="00F25131"/>
    <w:rsid w:val="00F25955"/>
    <w:rsid w:val="00F3166B"/>
    <w:rsid w:val="00F326EE"/>
    <w:rsid w:val="00F35611"/>
    <w:rsid w:val="00F37FAC"/>
    <w:rsid w:val="00F41049"/>
    <w:rsid w:val="00F45469"/>
    <w:rsid w:val="00F5148B"/>
    <w:rsid w:val="00F5216F"/>
    <w:rsid w:val="00F549FB"/>
    <w:rsid w:val="00F56977"/>
    <w:rsid w:val="00F56A63"/>
    <w:rsid w:val="00F574C8"/>
    <w:rsid w:val="00F57D28"/>
    <w:rsid w:val="00F61202"/>
    <w:rsid w:val="00F72BB6"/>
    <w:rsid w:val="00F74FA8"/>
    <w:rsid w:val="00F7522A"/>
    <w:rsid w:val="00F765A4"/>
    <w:rsid w:val="00F7790F"/>
    <w:rsid w:val="00F779BC"/>
    <w:rsid w:val="00F803E7"/>
    <w:rsid w:val="00F822D1"/>
    <w:rsid w:val="00F832A8"/>
    <w:rsid w:val="00F83FE7"/>
    <w:rsid w:val="00F87BC4"/>
    <w:rsid w:val="00F93F96"/>
    <w:rsid w:val="00F941CA"/>
    <w:rsid w:val="00F94B9B"/>
    <w:rsid w:val="00F95DEA"/>
    <w:rsid w:val="00F97A32"/>
    <w:rsid w:val="00FA1B82"/>
    <w:rsid w:val="00FA4284"/>
    <w:rsid w:val="00FA6EB3"/>
    <w:rsid w:val="00FB1C19"/>
    <w:rsid w:val="00FB3248"/>
    <w:rsid w:val="00FB35DD"/>
    <w:rsid w:val="00FB3951"/>
    <w:rsid w:val="00FB39B4"/>
    <w:rsid w:val="00FB6357"/>
    <w:rsid w:val="00FB7540"/>
    <w:rsid w:val="00FB78EC"/>
    <w:rsid w:val="00FC0DF3"/>
    <w:rsid w:val="00FC247A"/>
    <w:rsid w:val="00FC2824"/>
    <w:rsid w:val="00FC6126"/>
    <w:rsid w:val="00FC719A"/>
    <w:rsid w:val="00FD60AF"/>
    <w:rsid w:val="00FD66D2"/>
    <w:rsid w:val="00FE0AE4"/>
    <w:rsid w:val="00FE2D72"/>
    <w:rsid w:val="00FE411D"/>
    <w:rsid w:val="00FE48C3"/>
    <w:rsid w:val="00FE5885"/>
    <w:rsid w:val="00FE5DF6"/>
    <w:rsid w:val="00FF4029"/>
    <w:rsid w:val="00FF40D1"/>
    <w:rsid w:val="00FF54EF"/>
    <w:rsid w:val="00FF7319"/>
    <w:rsid w:val="00FF75F0"/>
    <w:rsid w:val="01077F8F"/>
    <w:rsid w:val="011B3300"/>
    <w:rsid w:val="01382B7D"/>
    <w:rsid w:val="013E61E2"/>
    <w:rsid w:val="01A81D9E"/>
    <w:rsid w:val="01B42765"/>
    <w:rsid w:val="01FF3BC3"/>
    <w:rsid w:val="020F54DA"/>
    <w:rsid w:val="023B2DC4"/>
    <w:rsid w:val="024471EC"/>
    <w:rsid w:val="02765598"/>
    <w:rsid w:val="0290311F"/>
    <w:rsid w:val="02DF3616"/>
    <w:rsid w:val="02EC31EC"/>
    <w:rsid w:val="02FD734A"/>
    <w:rsid w:val="033A0C2B"/>
    <w:rsid w:val="03592654"/>
    <w:rsid w:val="037747F0"/>
    <w:rsid w:val="03F81B1E"/>
    <w:rsid w:val="040600DB"/>
    <w:rsid w:val="04074A2A"/>
    <w:rsid w:val="04471F90"/>
    <w:rsid w:val="048E4147"/>
    <w:rsid w:val="04AC6D15"/>
    <w:rsid w:val="053D1B9E"/>
    <w:rsid w:val="058F4632"/>
    <w:rsid w:val="05D610DF"/>
    <w:rsid w:val="05E02181"/>
    <w:rsid w:val="05E11832"/>
    <w:rsid w:val="05FD6958"/>
    <w:rsid w:val="06BC70F9"/>
    <w:rsid w:val="07022A8F"/>
    <w:rsid w:val="07117EF5"/>
    <w:rsid w:val="07336B74"/>
    <w:rsid w:val="073F0B85"/>
    <w:rsid w:val="07417757"/>
    <w:rsid w:val="0747272B"/>
    <w:rsid w:val="08B234D4"/>
    <w:rsid w:val="08BC69F4"/>
    <w:rsid w:val="08CE556A"/>
    <w:rsid w:val="08D74405"/>
    <w:rsid w:val="090F5A0D"/>
    <w:rsid w:val="0928436E"/>
    <w:rsid w:val="09491BC8"/>
    <w:rsid w:val="09496E75"/>
    <w:rsid w:val="095158B9"/>
    <w:rsid w:val="09B2776D"/>
    <w:rsid w:val="09C337D2"/>
    <w:rsid w:val="0A1270E8"/>
    <w:rsid w:val="0A18647F"/>
    <w:rsid w:val="0A945F90"/>
    <w:rsid w:val="0ACA26AA"/>
    <w:rsid w:val="0AF16A15"/>
    <w:rsid w:val="0B14633D"/>
    <w:rsid w:val="0B265E18"/>
    <w:rsid w:val="0B556CDF"/>
    <w:rsid w:val="0B785C4C"/>
    <w:rsid w:val="0B9360AE"/>
    <w:rsid w:val="0B995230"/>
    <w:rsid w:val="0BDF4308"/>
    <w:rsid w:val="0BEA58E4"/>
    <w:rsid w:val="0C2671FD"/>
    <w:rsid w:val="0C331801"/>
    <w:rsid w:val="0C41302A"/>
    <w:rsid w:val="0CA02447"/>
    <w:rsid w:val="0CE92FB8"/>
    <w:rsid w:val="0D0753D1"/>
    <w:rsid w:val="0D077DD0"/>
    <w:rsid w:val="0D60645D"/>
    <w:rsid w:val="0D6C06A5"/>
    <w:rsid w:val="0DAB4BFF"/>
    <w:rsid w:val="0DC161D1"/>
    <w:rsid w:val="0E400FA5"/>
    <w:rsid w:val="0E511753"/>
    <w:rsid w:val="0EB82AA2"/>
    <w:rsid w:val="0EF95E3E"/>
    <w:rsid w:val="0F98447D"/>
    <w:rsid w:val="0FF36CB9"/>
    <w:rsid w:val="103119EF"/>
    <w:rsid w:val="1057106E"/>
    <w:rsid w:val="108C05CA"/>
    <w:rsid w:val="10966863"/>
    <w:rsid w:val="109B2A18"/>
    <w:rsid w:val="10E96908"/>
    <w:rsid w:val="111C1D4A"/>
    <w:rsid w:val="1191041B"/>
    <w:rsid w:val="11951E4E"/>
    <w:rsid w:val="11C24C0D"/>
    <w:rsid w:val="11D85BD5"/>
    <w:rsid w:val="11F6337B"/>
    <w:rsid w:val="124471BE"/>
    <w:rsid w:val="12535865"/>
    <w:rsid w:val="12787865"/>
    <w:rsid w:val="12861D78"/>
    <w:rsid w:val="1312127D"/>
    <w:rsid w:val="1324792E"/>
    <w:rsid w:val="136E6DFB"/>
    <w:rsid w:val="137C4FFF"/>
    <w:rsid w:val="140D2636"/>
    <w:rsid w:val="14136F91"/>
    <w:rsid w:val="147F6DE6"/>
    <w:rsid w:val="14D26A57"/>
    <w:rsid w:val="15347CE9"/>
    <w:rsid w:val="158C1391"/>
    <w:rsid w:val="15B56679"/>
    <w:rsid w:val="15EF0373"/>
    <w:rsid w:val="15F5119A"/>
    <w:rsid w:val="16067937"/>
    <w:rsid w:val="16165F18"/>
    <w:rsid w:val="161B5299"/>
    <w:rsid w:val="1634673B"/>
    <w:rsid w:val="164755A2"/>
    <w:rsid w:val="16CD0C24"/>
    <w:rsid w:val="17411447"/>
    <w:rsid w:val="17901F35"/>
    <w:rsid w:val="181C79C5"/>
    <w:rsid w:val="18636AEA"/>
    <w:rsid w:val="19B90B8B"/>
    <w:rsid w:val="1A8011C2"/>
    <w:rsid w:val="1A9A6727"/>
    <w:rsid w:val="1AA35FDD"/>
    <w:rsid w:val="1B3252D6"/>
    <w:rsid w:val="1B492C62"/>
    <w:rsid w:val="1B75420E"/>
    <w:rsid w:val="1BE7268E"/>
    <w:rsid w:val="1BF72EB6"/>
    <w:rsid w:val="1C2C53F6"/>
    <w:rsid w:val="1C315045"/>
    <w:rsid w:val="1C3A794B"/>
    <w:rsid w:val="1C674CFA"/>
    <w:rsid w:val="1CC2502E"/>
    <w:rsid w:val="1CC67062"/>
    <w:rsid w:val="1CCA24BD"/>
    <w:rsid w:val="1CD22D74"/>
    <w:rsid w:val="1CE471BB"/>
    <w:rsid w:val="1D026749"/>
    <w:rsid w:val="1D295B40"/>
    <w:rsid w:val="1D3B7B1C"/>
    <w:rsid w:val="1D762B36"/>
    <w:rsid w:val="1D8C706B"/>
    <w:rsid w:val="1E6F4E3A"/>
    <w:rsid w:val="1ED134D7"/>
    <w:rsid w:val="1EFF73D5"/>
    <w:rsid w:val="1F2B76C7"/>
    <w:rsid w:val="1F400656"/>
    <w:rsid w:val="1FA60A9C"/>
    <w:rsid w:val="1FC6612F"/>
    <w:rsid w:val="201C62F8"/>
    <w:rsid w:val="202C5D2C"/>
    <w:rsid w:val="20603745"/>
    <w:rsid w:val="207039C2"/>
    <w:rsid w:val="20870832"/>
    <w:rsid w:val="20AE6755"/>
    <w:rsid w:val="20C10497"/>
    <w:rsid w:val="215F631F"/>
    <w:rsid w:val="21B655D7"/>
    <w:rsid w:val="21C87416"/>
    <w:rsid w:val="21C92D57"/>
    <w:rsid w:val="21E02D11"/>
    <w:rsid w:val="223213F5"/>
    <w:rsid w:val="22D147BD"/>
    <w:rsid w:val="22D27B33"/>
    <w:rsid w:val="22E43881"/>
    <w:rsid w:val="22EE1714"/>
    <w:rsid w:val="23627766"/>
    <w:rsid w:val="237A62C6"/>
    <w:rsid w:val="237F64BA"/>
    <w:rsid w:val="24341C5C"/>
    <w:rsid w:val="24357EE2"/>
    <w:rsid w:val="25827BEC"/>
    <w:rsid w:val="25976661"/>
    <w:rsid w:val="25AE4E31"/>
    <w:rsid w:val="26136578"/>
    <w:rsid w:val="2631565C"/>
    <w:rsid w:val="268E37D0"/>
    <w:rsid w:val="274572A5"/>
    <w:rsid w:val="276339D3"/>
    <w:rsid w:val="27AB0725"/>
    <w:rsid w:val="27B34A08"/>
    <w:rsid w:val="27E90024"/>
    <w:rsid w:val="282C5F38"/>
    <w:rsid w:val="2840599F"/>
    <w:rsid w:val="28412DAC"/>
    <w:rsid w:val="2865049F"/>
    <w:rsid w:val="28844573"/>
    <w:rsid w:val="28DE0B35"/>
    <w:rsid w:val="291A781D"/>
    <w:rsid w:val="291F277F"/>
    <w:rsid w:val="296338D9"/>
    <w:rsid w:val="29D55086"/>
    <w:rsid w:val="29DD50FE"/>
    <w:rsid w:val="29F32451"/>
    <w:rsid w:val="2A266C8F"/>
    <w:rsid w:val="2A2E4992"/>
    <w:rsid w:val="2A342CD2"/>
    <w:rsid w:val="2A5B7CBB"/>
    <w:rsid w:val="2A5D628E"/>
    <w:rsid w:val="2A844EF7"/>
    <w:rsid w:val="2AAF479F"/>
    <w:rsid w:val="2B522706"/>
    <w:rsid w:val="2BC960CA"/>
    <w:rsid w:val="2C416A03"/>
    <w:rsid w:val="2C8A72E4"/>
    <w:rsid w:val="2CC814BC"/>
    <w:rsid w:val="2CDA113A"/>
    <w:rsid w:val="2D002460"/>
    <w:rsid w:val="2D3E27BA"/>
    <w:rsid w:val="2D6251F1"/>
    <w:rsid w:val="2D6F3845"/>
    <w:rsid w:val="2DA200BD"/>
    <w:rsid w:val="2DFE5055"/>
    <w:rsid w:val="2E0D2197"/>
    <w:rsid w:val="2E375A45"/>
    <w:rsid w:val="2EA32F21"/>
    <w:rsid w:val="2ED272CF"/>
    <w:rsid w:val="2F5D2C17"/>
    <w:rsid w:val="2F8506DC"/>
    <w:rsid w:val="2F8574DA"/>
    <w:rsid w:val="2FD70D97"/>
    <w:rsid w:val="2FF24E8E"/>
    <w:rsid w:val="300417D3"/>
    <w:rsid w:val="304D122A"/>
    <w:rsid w:val="30732D63"/>
    <w:rsid w:val="307D53F7"/>
    <w:rsid w:val="3126779C"/>
    <w:rsid w:val="312C2C56"/>
    <w:rsid w:val="314D1E5E"/>
    <w:rsid w:val="317E4255"/>
    <w:rsid w:val="31912C1A"/>
    <w:rsid w:val="32283A9C"/>
    <w:rsid w:val="32963D0B"/>
    <w:rsid w:val="333E0B85"/>
    <w:rsid w:val="33412FEE"/>
    <w:rsid w:val="33814F8D"/>
    <w:rsid w:val="33882219"/>
    <w:rsid w:val="339E473B"/>
    <w:rsid w:val="33CF4D0C"/>
    <w:rsid w:val="33EE557F"/>
    <w:rsid w:val="33F7005B"/>
    <w:rsid w:val="34152F5C"/>
    <w:rsid w:val="343E7CCC"/>
    <w:rsid w:val="344D229C"/>
    <w:rsid w:val="34892544"/>
    <w:rsid w:val="34A044B4"/>
    <w:rsid w:val="34F860CC"/>
    <w:rsid w:val="35354ABA"/>
    <w:rsid w:val="35BB3AA2"/>
    <w:rsid w:val="364E57B3"/>
    <w:rsid w:val="36A36342"/>
    <w:rsid w:val="36C572E8"/>
    <w:rsid w:val="36DC6C4A"/>
    <w:rsid w:val="36EB3BA4"/>
    <w:rsid w:val="3726796F"/>
    <w:rsid w:val="37386C54"/>
    <w:rsid w:val="373B67BD"/>
    <w:rsid w:val="3766714B"/>
    <w:rsid w:val="37851E2C"/>
    <w:rsid w:val="37884542"/>
    <w:rsid w:val="37A16D14"/>
    <w:rsid w:val="37B449F3"/>
    <w:rsid w:val="38674833"/>
    <w:rsid w:val="38811163"/>
    <w:rsid w:val="38C24422"/>
    <w:rsid w:val="38EA7B5C"/>
    <w:rsid w:val="394D7AFA"/>
    <w:rsid w:val="394E7213"/>
    <w:rsid w:val="395522C3"/>
    <w:rsid w:val="39BB0BDB"/>
    <w:rsid w:val="39F2371E"/>
    <w:rsid w:val="3A5771B8"/>
    <w:rsid w:val="3A726F2E"/>
    <w:rsid w:val="3A850402"/>
    <w:rsid w:val="3AA762A4"/>
    <w:rsid w:val="3AAB10C5"/>
    <w:rsid w:val="3AAD23AF"/>
    <w:rsid w:val="3AB6772C"/>
    <w:rsid w:val="3B1E11DE"/>
    <w:rsid w:val="3B2C2CEE"/>
    <w:rsid w:val="3B497682"/>
    <w:rsid w:val="3B506C62"/>
    <w:rsid w:val="3B69078B"/>
    <w:rsid w:val="3BB527F9"/>
    <w:rsid w:val="3BBA2AA9"/>
    <w:rsid w:val="3BDF3B42"/>
    <w:rsid w:val="3BFD1875"/>
    <w:rsid w:val="3C220EE0"/>
    <w:rsid w:val="3C25238E"/>
    <w:rsid w:val="3CB5502C"/>
    <w:rsid w:val="3CB82D3D"/>
    <w:rsid w:val="3CD62A5B"/>
    <w:rsid w:val="3D4F6AA6"/>
    <w:rsid w:val="3DF12D76"/>
    <w:rsid w:val="3DFC22CF"/>
    <w:rsid w:val="3E1D7DC3"/>
    <w:rsid w:val="3EB42F98"/>
    <w:rsid w:val="3F227AE8"/>
    <w:rsid w:val="3F771DBE"/>
    <w:rsid w:val="3FF85455"/>
    <w:rsid w:val="40012822"/>
    <w:rsid w:val="402448E7"/>
    <w:rsid w:val="40AC4E80"/>
    <w:rsid w:val="411B41BC"/>
    <w:rsid w:val="419E7FFC"/>
    <w:rsid w:val="41A63656"/>
    <w:rsid w:val="422608BA"/>
    <w:rsid w:val="422D115A"/>
    <w:rsid w:val="42762E7B"/>
    <w:rsid w:val="4291098B"/>
    <w:rsid w:val="42A349B2"/>
    <w:rsid w:val="42B41F8B"/>
    <w:rsid w:val="42C07614"/>
    <w:rsid w:val="42ED57F2"/>
    <w:rsid w:val="430A7866"/>
    <w:rsid w:val="432B58BF"/>
    <w:rsid w:val="43BF352D"/>
    <w:rsid w:val="43CA5612"/>
    <w:rsid w:val="43E14EEC"/>
    <w:rsid w:val="44000AFA"/>
    <w:rsid w:val="445350D7"/>
    <w:rsid w:val="445D0A47"/>
    <w:rsid w:val="44947019"/>
    <w:rsid w:val="44EE43A5"/>
    <w:rsid w:val="44F71048"/>
    <w:rsid w:val="45BB117C"/>
    <w:rsid w:val="45F6220D"/>
    <w:rsid w:val="465670F7"/>
    <w:rsid w:val="4698733E"/>
    <w:rsid w:val="473B0F57"/>
    <w:rsid w:val="47540DDF"/>
    <w:rsid w:val="47627351"/>
    <w:rsid w:val="476F0995"/>
    <w:rsid w:val="479F0BB8"/>
    <w:rsid w:val="47C24DC9"/>
    <w:rsid w:val="48162EA9"/>
    <w:rsid w:val="485D1A85"/>
    <w:rsid w:val="4880208D"/>
    <w:rsid w:val="48D57EB8"/>
    <w:rsid w:val="49132400"/>
    <w:rsid w:val="49457BF2"/>
    <w:rsid w:val="4A1166D7"/>
    <w:rsid w:val="4A5B2731"/>
    <w:rsid w:val="4A6F152E"/>
    <w:rsid w:val="4AA809C0"/>
    <w:rsid w:val="4AED1C9D"/>
    <w:rsid w:val="4B814C16"/>
    <w:rsid w:val="4BA6467C"/>
    <w:rsid w:val="4BA960E9"/>
    <w:rsid w:val="4C4F1C92"/>
    <w:rsid w:val="4D1F6E9A"/>
    <w:rsid w:val="4D312982"/>
    <w:rsid w:val="4D5624A8"/>
    <w:rsid w:val="4D7F4ED0"/>
    <w:rsid w:val="4D8B28C8"/>
    <w:rsid w:val="4D8B3C75"/>
    <w:rsid w:val="4E1807F0"/>
    <w:rsid w:val="4E2912D4"/>
    <w:rsid w:val="4E2D61AD"/>
    <w:rsid w:val="4E472389"/>
    <w:rsid w:val="4E67704E"/>
    <w:rsid w:val="4E961A76"/>
    <w:rsid w:val="4E9A7F8B"/>
    <w:rsid w:val="4EE33F7B"/>
    <w:rsid w:val="4F000852"/>
    <w:rsid w:val="4F912B39"/>
    <w:rsid w:val="4FD80D17"/>
    <w:rsid w:val="5060065E"/>
    <w:rsid w:val="50650662"/>
    <w:rsid w:val="50716B3B"/>
    <w:rsid w:val="50CA0787"/>
    <w:rsid w:val="51EE3EE4"/>
    <w:rsid w:val="52815D19"/>
    <w:rsid w:val="52AA4E57"/>
    <w:rsid w:val="53177C0E"/>
    <w:rsid w:val="532C5B84"/>
    <w:rsid w:val="53602217"/>
    <w:rsid w:val="536D17D1"/>
    <w:rsid w:val="53902320"/>
    <w:rsid w:val="53A0341B"/>
    <w:rsid w:val="53E31F77"/>
    <w:rsid w:val="54E2383E"/>
    <w:rsid w:val="54F62BE9"/>
    <w:rsid w:val="54FF1314"/>
    <w:rsid w:val="553404C9"/>
    <w:rsid w:val="55435822"/>
    <w:rsid w:val="55453E63"/>
    <w:rsid w:val="556C024B"/>
    <w:rsid w:val="55C10AA0"/>
    <w:rsid w:val="572B5731"/>
    <w:rsid w:val="5822393B"/>
    <w:rsid w:val="582662AC"/>
    <w:rsid w:val="58373FC8"/>
    <w:rsid w:val="5870229A"/>
    <w:rsid w:val="588718F8"/>
    <w:rsid w:val="58B033EB"/>
    <w:rsid w:val="58E56D52"/>
    <w:rsid w:val="58E61ADD"/>
    <w:rsid w:val="598F06A1"/>
    <w:rsid w:val="59B5223B"/>
    <w:rsid w:val="59CA3C9C"/>
    <w:rsid w:val="59D722AF"/>
    <w:rsid w:val="59F5190A"/>
    <w:rsid w:val="5A125727"/>
    <w:rsid w:val="5A1D2B64"/>
    <w:rsid w:val="5A70741A"/>
    <w:rsid w:val="5A73164C"/>
    <w:rsid w:val="5AC65340"/>
    <w:rsid w:val="5ADF05F5"/>
    <w:rsid w:val="5B1F74E7"/>
    <w:rsid w:val="5B583284"/>
    <w:rsid w:val="5B6E2CDB"/>
    <w:rsid w:val="5BA82F01"/>
    <w:rsid w:val="5C0E3323"/>
    <w:rsid w:val="5C8A5233"/>
    <w:rsid w:val="5CE73A8F"/>
    <w:rsid w:val="5CF858EE"/>
    <w:rsid w:val="5D3A3CCF"/>
    <w:rsid w:val="5D883983"/>
    <w:rsid w:val="5D92279B"/>
    <w:rsid w:val="5D9C082F"/>
    <w:rsid w:val="5DA60272"/>
    <w:rsid w:val="5E122AE4"/>
    <w:rsid w:val="5E221430"/>
    <w:rsid w:val="5E231EAA"/>
    <w:rsid w:val="5E263FA8"/>
    <w:rsid w:val="5E311F0C"/>
    <w:rsid w:val="5E56079A"/>
    <w:rsid w:val="5E766D43"/>
    <w:rsid w:val="5EBD1FFA"/>
    <w:rsid w:val="5EDD10CF"/>
    <w:rsid w:val="5F013C07"/>
    <w:rsid w:val="5F8F13BB"/>
    <w:rsid w:val="5FA10F8B"/>
    <w:rsid w:val="5FA40559"/>
    <w:rsid w:val="5FBD0750"/>
    <w:rsid w:val="60274F33"/>
    <w:rsid w:val="60674C0F"/>
    <w:rsid w:val="609901A2"/>
    <w:rsid w:val="609D4E6C"/>
    <w:rsid w:val="60B57526"/>
    <w:rsid w:val="60D91FF3"/>
    <w:rsid w:val="60FC5A2B"/>
    <w:rsid w:val="612C4675"/>
    <w:rsid w:val="613D5084"/>
    <w:rsid w:val="617A7D05"/>
    <w:rsid w:val="61861C6D"/>
    <w:rsid w:val="61991749"/>
    <w:rsid w:val="61EF1454"/>
    <w:rsid w:val="61F028FD"/>
    <w:rsid w:val="62593E90"/>
    <w:rsid w:val="625D23EE"/>
    <w:rsid w:val="62BB2188"/>
    <w:rsid w:val="636613E1"/>
    <w:rsid w:val="636D6878"/>
    <w:rsid w:val="63B42A0B"/>
    <w:rsid w:val="63F16838"/>
    <w:rsid w:val="644F4CA2"/>
    <w:rsid w:val="646870C7"/>
    <w:rsid w:val="64705889"/>
    <w:rsid w:val="6483379B"/>
    <w:rsid w:val="64983DB0"/>
    <w:rsid w:val="64DD6316"/>
    <w:rsid w:val="64F21A84"/>
    <w:rsid w:val="65116BC0"/>
    <w:rsid w:val="654D56C7"/>
    <w:rsid w:val="656E5F3A"/>
    <w:rsid w:val="659543EC"/>
    <w:rsid w:val="65956D31"/>
    <w:rsid w:val="65F477DC"/>
    <w:rsid w:val="662915B4"/>
    <w:rsid w:val="664803B2"/>
    <w:rsid w:val="668026C2"/>
    <w:rsid w:val="66E520A5"/>
    <w:rsid w:val="670E0FB6"/>
    <w:rsid w:val="675B44A0"/>
    <w:rsid w:val="679460B8"/>
    <w:rsid w:val="67BA25BB"/>
    <w:rsid w:val="67EC69A8"/>
    <w:rsid w:val="680622D3"/>
    <w:rsid w:val="6834217D"/>
    <w:rsid w:val="68371673"/>
    <w:rsid w:val="684319DB"/>
    <w:rsid w:val="685C1262"/>
    <w:rsid w:val="68917F23"/>
    <w:rsid w:val="68A741F3"/>
    <w:rsid w:val="68B01467"/>
    <w:rsid w:val="68B27D65"/>
    <w:rsid w:val="68C1444C"/>
    <w:rsid w:val="68E81B7C"/>
    <w:rsid w:val="691235DF"/>
    <w:rsid w:val="69275EA1"/>
    <w:rsid w:val="69936B6B"/>
    <w:rsid w:val="69BB0BC2"/>
    <w:rsid w:val="69C67F6C"/>
    <w:rsid w:val="69C9231B"/>
    <w:rsid w:val="6A3E7D5B"/>
    <w:rsid w:val="6A755E19"/>
    <w:rsid w:val="6A950992"/>
    <w:rsid w:val="6A9F2827"/>
    <w:rsid w:val="6ABC2982"/>
    <w:rsid w:val="6ABD624D"/>
    <w:rsid w:val="6ADF3B69"/>
    <w:rsid w:val="6AF375F1"/>
    <w:rsid w:val="6B727409"/>
    <w:rsid w:val="6B740248"/>
    <w:rsid w:val="6B814C6A"/>
    <w:rsid w:val="6C2C3763"/>
    <w:rsid w:val="6CB50C86"/>
    <w:rsid w:val="6CC76ADE"/>
    <w:rsid w:val="6CCC4DD3"/>
    <w:rsid w:val="6D6221DE"/>
    <w:rsid w:val="6D771A05"/>
    <w:rsid w:val="6D8B2945"/>
    <w:rsid w:val="6DAA6163"/>
    <w:rsid w:val="6DAC3B9B"/>
    <w:rsid w:val="6DE22E9A"/>
    <w:rsid w:val="6E401CB4"/>
    <w:rsid w:val="6EBB171C"/>
    <w:rsid w:val="6EDC1C75"/>
    <w:rsid w:val="705708DB"/>
    <w:rsid w:val="70BD154F"/>
    <w:rsid w:val="70E37655"/>
    <w:rsid w:val="71067154"/>
    <w:rsid w:val="718325CE"/>
    <w:rsid w:val="719A5DCE"/>
    <w:rsid w:val="71B9344F"/>
    <w:rsid w:val="71D421FA"/>
    <w:rsid w:val="71EE2147"/>
    <w:rsid w:val="71FB09CF"/>
    <w:rsid w:val="72215816"/>
    <w:rsid w:val="72312642"/>
    <w:rsid w:val="728B1018"/>
    <w:rsid w:val="729C3DAA"/>
    <w:rsid w:val="72F83160"/>
    <w:rsid w:val="73272359"/>
    <w:rsid w:val="73EC35D1"/>
    <w:rsid w:val="73F92CEC"/>
    <w:rsid w:val="745349B6"/>
    <w:rsid w:val="74710DAF"/>
    <w:rsid w:val="74BB290E"/>
    <w:rsid w:val="75006B73"/>
    <w:rsid w:val="750A578F"/>
    <w:rsid w:val="75426065"/>
    <w:rsid w:val="75AE53E0"/>
    <w:rsid w:val="75D56B0D"/>
    <w:rsid w:val="75FA786C"/>
    <w:rsid w:val="760E6132"/>
    <w:rsid w:val="76206C56"/>
    <w:rsid w:val="763629E2"/>
    <w:rsid w:val="764928A0"/>
    <w:rsid w:val="76555C6F"/>
    <w:rsid w:val="76B77A7D"/>
    <w:rsid w:val="76BB697E"/>
    <w:rsid w:val="76C51C18"/>
    <w:rsid w:val="76EB04A0"/>
    <w:rsid w:val="77B474A2"/>
    <w:rsid w:val="780C4767"/>
    <w:rsid w:val="782716BA"/>
    <w:rsid w:val="78580A05"/>
    <w:rsid w:val="78734A44"/>
    <w:rsid w:val="78996BD2"/>
    <w:rsid w:val="789B7A38"/>
    <w:rsid w:val="78A74CC3"/>
    <w:rsid w:val="78D01EAC"/>
    <w:rsid w:val="78E13546"/>
    <w:rsid w:val="797A7C24"/>
    <w:rsid w:val="797C13B8"/>
    <w:rsid w:val="79825C33"/>
    <w:rsid w:val="799E3DA6"/>
    <w:rsid w:val="79AD7678"/>
    <w:rsid w:val="79C70258"/>
    <w:rsid w:val="79F07A78"/>
    <w:rsid w:val="7A180C01"/>
    <w:rsid w:val="7A433743"/>
    <w:rsid w:val="7A8B72AB"/>
    <w:rsid w:val="7A9745C1"/>
    <w:rsid w:val="7A9D6AC7"/>
    <w:rsid w:val="7ADE6B49"/>
    <w:rsid w:val="7AFB03D8"/>
    <w:rsid w:val="7B0F7299"/>
    <w:rsid w:val="7B1C7F78"/>
    <w:rsid w:val="7B4707E1"/>
    <w:rsid w:val="7B5E0897"/>
    <w:rsid w:val="7B682FA7"/>
    <w:rsid w:val="7B78237B"/>
    <w:rsid w:val="7BA82534"/>
    <w:rsid w:val="7BC66E02"/>
    <w:rsid w:val="7C3810A9"/>
    <w:rsid w:val="7CFB5D27"/>
    <w:rsid w:val="7CFC5143"/>
    <w:rsid w:val="7D016009"/>
    <w:rsid w:val="7D0C38B8"/>
    <w:rsid w:val="7E1F293D"/>
    <w:rsid w:val="7E270891"/>
    <w:rsid w:val="7E2931C9"/>
    <w:rsid w:val="7E8D44C5"/>
    <w:rsid w:val="7EBF0D00"/>
    <w:rsid w:val="7EC34FC3"/>
    <w:rsid w:val="7F076C05"/>
    <w:rsid w:val="7F0974E4"/>
    <w:rsid w:val="7FA93818"/>
    <w:rsid w:val="7FCF46CA"/>
    <w:rsid w:val="7FE1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nhideWhenUsed="0" w:uiPriority="99"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仿宋" w:cstheme="minorBidi"/>
      <w:kern w:val="2"/>
      <w:sz w:val="24"/>
      <w:szCs w:val="22"/>
      <w:lang w:val="en-US" w:eastAsia="zh-CN" w:bidi="ar-SA"/>
    </w:rPr>
  </w:style>
  <w:style w:type="paragraph" w:styleId="2">
    <w:name w:val="heading 1"/>
    <w:basedOn w:val="1"/>
    <w:next w:val="1"/>
    <w:link w:val="79"/>
    <w:qFormat/>
    <w:uiPriority w:val="1"/>
    <w:pPr>
      <w:keepNext/>
      <w:keepLines/>
      <w:spacing w:before="120" w:after="120" w:line="240" w:lineRule="auto"/>
      <w:outlineLvl w:val="0"/>
    </w:pPr>
    <w:rPr>
      <w:rFonts w:eastAsia="黑体" w:cs="Times New Roman"/>
      <w:bCs/>
      <w:kern w:val="44"/>
      <w:szCs w:val="44"/>
    </w:rPr>
  </w:style>
  <w:style w:type="paragraph" w:styleId="3">
    <w:name w:val="heading 2"/>
    <w:basedOn w:val="1"/>
    <w:next w:val="1"/>
    <w:link w:val="34"/>
    <w:qFormat/>
    <w:uiPriority w:val="1"/>
    <w:pPr>
      <w:keepNext/>
      <w:keepLines/>
      <w:spacing w:before="50" w:beforeLines="50" w:after="50" w:afterLines="50"/>
      <w:ind w:firstLine="720" w:firstLineChars="200"/>
      <w:outlineLvl w:val="1"/>
    </w:pPr>
    <w:rPr>
      <w:rFonts w:cs="Cambria"/>
      <w:b/>
      <w:bCs/>
      <w:kern w:val="0"/>
      <w:szCs w:val="24"/>
    </w:rPr>
  </w:style>
  <w:style w:type="paragraph" w:styleId="4">
    <w:name w:val="heading 3"/>
    <w:basedOn w:val="1"/>
    <w:next w:val="1"/>
    <w:link w:val="80"/>
    <w:qFormat/>
    <w:uiPriority w:val="1"/>
    <w:pPr>
      <w:keepNext/>
      <w:keepLines/>
      <w:ind w:firstLine="720" w:firstLineChars="200"/>
      <w:outlineLvl w:val="2"/>
    </w:pPr>
    <w:rPr>
      <w:rFonts w:cs="宋体"/>
      <w:b/>
      <w:bCs/>
      <w:kern w:val="0"/>
      <w:szCs w:val="24"/>
    </w:rPr>
  </w:style>
  <w:style w:type="paragraph" w:styleId="5">
    <w:name w:val="heading 4"/>
    <w:basedOn w:val="1"/>
    <w:next w:val="1"/>
    <w:link w:val="36"/>
    <w:qFormat/>
    <w:uiPriority w:val="1"/>
    <w:pPr>
      <w:keepNext/>
      <w:keepLines/>
      <w:spacing w:line="376" w:lineRule="atLeast"/>
      <w:outlineLvl w:val="3"/>
    </w:pPr>
    <w:rPr>
      <w:rFonts w:cs="Cambria"/>
      <w:b/>
      <w:bCs/>
      <w:kern w:val="0"/>
      <w:szCs w:val="28"/>
    </w:rPr>
  </w:style>
  <w:style w:type="paragraph" w:styleId="6">
    <w:name w:val="heading 5"/>
    <w:basedOn w:val="1"/>
    <w:next w:val="1"/>
    <w:link w:val="37"/>
    <w:qFormat/>
    <w:uiPriority w:val="0"/>
    <w:pPr>
      <w:keepNext/>
      <w:keepLines/>
      <w:numPr>
        <w:ilvl w:val="4"/>
        <w:numId w:val="1"/>
      </w:numPr>
      <w:spacing w:before="280" w:after="290" w:line="376" w:lineRule="atLeast"/>
      <w:outlineLvl w:val="4"/>
    </w:pPr>
    <w:rPr>
      <w:rFonts w:ascii="Calibri" w:hAnsi="Calibri" w:eastAsia="宋体" w:cs="Times New Roman"/>
      <w:b/>
      <w:bCs/>
      <w:kern w:val="0"/>
      <w:sz w:val="28"/>
      <w:szCs w:val="28"/>
    </w:rPr>
  </w:style>
  <w:style w:type="paragraph" w:styleId="7">
    <w:name w:val="heading 6"/>
    <w:basedOn w:val="1"/>
    <w:next w:val="1"/>
    <w:link w:val="38"/>
    <w:qFormat/>
    <w:uiPriority w:val="0"/>
    <w:pPr>
      <w:keepNext/>
      <w:keepLines/>
      <w:numPr>
        <w:ilvl w:val="5"/>
        <w:numId w:val="1"/>
      </w:numPr>
      <w:spacing w:before="240" w:after="64" w:line="320" w:lineRule="atLeast"/>
      <w:outlineLvl w:val="5"/>
    </w:pPr>
    <w:rPr>
      <w:rFonts w:ascii="Cambria" w:hAnsi="Cambria" w:eastAsia="宋体" w:cs="Cambria"/>
      <w:b/>
      <w:bCs/>
      <w:kern w:val="0"/>
      <w:szCs w:val="24"/>
    </w:rPr>
  </w:style>
  <w:style w:type="paragraph" w:styleId="8">
    <w:name w:val="heading 7"/>
    <w:basedOn w:val="1"/>
    <w:next w:val="1"/>
    <w:link w:val="39"/>
    <w:qFormat/>
    <w:uiPriority w:val="0"/>
    <w:pPr>
      <w:keepNext/>
      <w:keepLines/>
      <w:numPr>
        <w:ilvl w:val="6"/>
        <w:numId w:val="1"/>
      </w:numPr>
      <w:spacing w:before="240" w:after="64" w:line="320" w:lineRule="atLeast"/>
      <w:outlineLvl w:val="6"/>
    </w:pPr>
    <w:rPr>
      <w:rFonts w:ascii="Calibri" w:hAnsi="Calibri" w:eastAsia="宋体" w:cs="Times New Roman"/>
      <w:b/>
      <w:bCs/>
      <w:kern w:val="0"/>
      <w:szCs w:val="24"/>
    </w:rPr>
  </w:style>
  <w:style w:type="paragraph" w:styleId="9">
    <w:name w:val="heading 8"/>
    <w:basedOn w:val="1"/>
    <w:next w:val="1"/>
    <w:link w:val="40"/>
    <w:qFormat/>
    <w:uiPriority w:val="0"/>
    <w:pPr>
      <w:keepNext/>
      <w:keepLines/>
      <w:numPr>
        <w:ilvl w:val="7"/>
        <w:numId w:val="1"/>
      </w:numPr>
      <w:spacing w:before="240" w:after="64" w:line="320" w:lineRule="atLeast"/>
      <w:outlineLvl w:val="7"/>
    </w:pPr>
    <w:rPr>
      <w:rFonts w:ascii="Cambria" w:hAnsi="Cambria" w:eastAsia="宋体" w:cs="Cambria"/>
      <w:kern w:val="0"/>
      <w:szCs w:val="24"/>
    </w:rPr>
  </w:style>
  <w:style w:type="paragraph" w:styleId="10">
    <w:name w:val="heading 9"/>
    <w:basedOn w:val="1"/>
    <w:next w:val="1"/>
    <w:link w:val="41"/>
    <w:qFormat/>
    <w:uiPriority w:val="0"/>
    <w:pPr>
      <w:keepNext/>
      <w:keepLines/>
      <w:numPr>
        <w:ilvl w:val="8"/>
        <w:numId w:val="1"/>
      </w:numPr>
      <w:spacing w:before="240" w:after="64" w:line="320" w:lineRule="atLeast"/>
      <w:outlineLvl w:val="8"/>
    </w:pPr>
    <w:rPr>
      <w:rFonts w:ascii="Cambria" w:hAnsi="Cambria" w:eastAsia="宋体" w:cs="Cambria"/>
      <w:kern w:val="0"/>
      <w:sz w:val="20"/>
      <w:szCs w:val="20"/>
    </w:rPr>
  </w:style>
  <w:style w:type="character" w:default="1" w:styleId="28">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11">
    <w:name w:val="caption"/>
    <w:basedOn w:val="1"/>
    <w:next w:val="1"/>
    <w:unhideWhenUsed/>
    <w:qFormat/>
    <w:uiPriority w:val="35"/>
    <w:rPr>
      <w:rFonts w:eastAsia="黑体" w:asciiTheme="majorHAnsi" w:hAnsiTheme="majorHAnsi" w:cstheme="majorBidi"/>
      <w:sz w:val="20"/>
      <w:szCs w:val="20"/>
    </w:rPr>
  </w:style>
  <w:style w:type="paragraph" w:styleId="12">
    <w:name w:val="annotation text"/>
    <w:basedOn w:val="1"/>
    <w:link w:val="48"/>
    <w:unhideWhenUsed/>
    <w:qFormat/>
    <w:uiPriority w:val="99"/>
    <w:pPr>
      <w:spacing w:line="240" w:lineRule="auto"/>
      <w:jc w:val="left"/>
    </w:pPr>
    <w:rPr>
      <w:rFonts w:asciiTheme="minorHAnsi" w:hAnsiTheme="minorHAnsi" w:eastAsiaTheme="minorEastAsia"/>
      <w:sz w:val="21"/>
    </w:rPr>
  </w:style>
  <w:style w:type="paragraph" w:styleId="13">
    <w:name w:val="Body Text"/>
    <w:basedOn w:val="1"/>
    <w:link w:val="57"/>
    <w:qFormat/>
    <w:uiPriority w:val="1"/>
    <w:pPr>
      <w:spacing w:before="21" w:line="240" w:lineRule="auto"/>
      <w:ind w:left="120"/>
      <w:jc w:val="left"/>
    </w:pPr>
    <w:rPr>
      <w:rFonts w:ascii="宋体" w:hAnsi="宋体" w:eastAsia="宋体"/>
      <w:kern w:val="0"/>
      <w:sz w:val="21"/>
      <w:szCs w:val="21"/>
      <w:lang w:eastAsia="en-US"/>
    </w:rPr>
  </w:style>
  <w:style w:type="paragraph" w:styleId="14">
    <w:name w:val="toc 3"/>
    <w:basedOn w:val="1"/>
    <w:next w:val="1"/>
    <w:autoRedefine/>
    <w:unhideWhenUsed/>
    <w:qFormat/>
    <w:uiPriority w:val="39"/>
    <w:pPr>
      <w:spacing w:line="240" w:lineRule="auto"/>
      <w:ind w:left="840" w:leftChars="400"/>
    </w:pPr>
    <w:rPr>
      <w:sz w:val="21"/>
    </w:rPr>
  </w:style>
  <w:style w:type="paragraph" w:styleId="15">
    <w:name w:val="Balloon Text"/>
    <w:basedOn w:val="1"/>
    <w:link w:val="49"/>
    <w:semiHidden/>
    <w:unhideWhenUsed/>
    <w:qFormat/>
    <w:uiPriority w:val="99"/>
    <w:pPr>
      <w:spacing w:line="240" w:lineRule="auto"/>
    </w:pPr>
    <w:rPr>
      <w:sz w:val="18"/>
      <w:szCs w:val="18"/>
    </w:rPr>
  </w:style>
  <w:style w:type="paragraph" w:styleId="16">
    <w:name w:val="footer"/>
    <w:basedOn w:val="1"/>
    <w:link w:val="43"/>
    <w:unhideWhenUsed/>
    <w:qFormat/>
    <w:uiPriority w:val="99"/>
    <w:pPr>
      <w:tabs>
        <w:tab w:val="center" w:pos="4153"/>
        <w:tab w:val="right" w:pos="8306"/>
      </w:tabs>
      <w:snapToGrid w:val="0"/>
      <w:jc w:val="left"/>
    </w:pPr>
    <w:rPr>
      <w:sz w:val="18"/>
      <w:szCs w:val="18"/>
    </w:rPr>
  </w:style>
  <w:style w:type="paragraph" w:styleId="17">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unhideWhenUsed/>
    <w:qFormat/>
    <w:uiPriority w:val="39"/>
    <w:pPr>
      <w:spacing w:line="240" w:lineRule="auto"/>
    </w:pPr>
    <w:rPr>
      <w:rFonts w:eastAsia="黑体"/>
      <w:sz w:val="21"/>
    </w:rPr>
  </w:style>
  <w:style w:type="paragraph" w:styleId="19">
    <w:name w:val="toc 4"/>
    <w:basedOn w:val="1"/>
    <w:next w:val="1"/>
    <w:autoRedefine/>
    <w:unhideWhenUsed/>
    <w:qFormat/>
    <w:uiPriority w:val="39"/>
    <w:pPr>
      <w:ind w:left="1260" w:leftChars="600"/>
    </w:pPr>
  </w:style>
  <w:style w:type="paragraph" w:styleId="20">
    <w:name w:val="List"/>
    <w:basedOn w:val="1"/>
    <w:semiHidden/>
    <w:unhideWhenUsed/>
    <w:qFormat/>
    <w:uiPriority w:val="99"/>
    <w:pPr>
      <w:ind w:left="200" w:hanging="200" w:hangingChars="200"/>
      <w:contextualSpacing/>
    </w:pPr>
  </w:style>
  <w:style w:type="paragraph" w:styleId="21">
    <w:name w:val="footnote text"/>
    <w:basedOn w:val="1"/>
    <w:link w:val="44"/>
    <w:qFormat/>
    <w:uiPriority w:val="0"/>
    <w:pPr>
      <w:snapToGrid w:val="0"/>
      <w:jc w:val="left"/>
    </w:pPr>
    <w:rPr>
      <w:rFonts w:eastAsia="宋体" w:cs="Times New Roman"/>
      <w:sz w:val="18"/>
      <w:szCs w:val="18"/>
    </w:rPr>
  </w:style>
  <w:style w:type="paragraph" w:styleId="22">
    <w:name w:val="toc 2"/>
    <w:basedOn w:val="1"/>
    <w:next w:val="1"/>
    <w:autoRedefine/>
    <w:unhideWhenUsed/>
    <w:qFormat/>
    <w:uiPriority w:val="39"/>
    <w:pPr>
      <w:spacing w:line="240" w:lineRule="auto"/>
      <w:ind w:left="420" w:leftChars="200"/>
    </w:pPr>
    <w:rPr>
      <w:sz w:val="21"/>
    </w:rPr>
  </w:style>
  <w:style w:type="paragraph" w:styleId="23">
    <w:name w:val="Normal (Web)"/>
    <w:basedOn w:val="1"/>
    <w:unhideWhenUsed/>
    <w:qFormat/>
    <w:uiPriority w:val="99"/>
    <w:pPr>
      <w:widowControl/>
      <w:spacing w:before="100" w:beforeAutospacing="1" w:after="100" w:afterAutospacing="1"/>
      <w:jc w:val="left"/>
    </w:pPr>
    <w:rPr>
      <w:rFonts w:ascii="宋体" w:hAnsi="宋体" w:eastAsia="宋体" w:cs="宋体"/>
      <w:kern w:val="0"/>
      <w:szCs w:val="24"/>
    </w:rPr>
  </w:style>
  <w:style w:type="paragraph" w:styleId="24">
    <w:name w:val="annotation subject"/>
    <w:basedOn w:val="12"/>
    <w:next w:val="12"/>
    <w:link w:val="50"/>
    <w:semiHidden/>
    <w:unhideWhenUsed/>
    <w:qFormat/>
    <w:uiPriority w:val="99"/>
    <w:pPr>
      <w:spacing w:line="360" w:lineRule="auto"/>
    </w:pPr>
    <w:rPr>
      <w:rFonts w:ascii="Times New Roman" w:hAnsi="Times New Roman" w:eastAsia="仿宋"/>
      <w:b/>
      <w:bCs/>
      <w:sz w:val="24"/>
    </w:rPr>
  </w:style>
  <w:style w:type="table" w:styleId="26">
    <w:name w:val="Table Grid"/>
    <w:basedOn w:val="2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7">
    <w:name w:val="Light Shading"/>
    <w:basedOn w:val="25"/>
    <w:qFormat/>
    <w:uiPriority w:val="60"/>
    <w:rPr>
      <w:rFonts w:asciiTheme="minorHAnsi" w:hAnsiTheme="minorHAnsi" w:eastAsiaTheme="minorEastAsia"/>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character" w:styleId="29">
    <w:name w:val="Strong"/>
    <w:basedOn w:val="28"/>
    <w:qFormat/>
    <w:uiPriority w:val="22"/>
    <w:rPr>
      <w:b/>
    </w:rPr>
  </w:style>
  <w:style w:type="character" w:styleId="30">
    <w:name w:val="Hyperlink"/>
    <w:basedOn w:val="28"/>
    <w:unhideWhenUsed/>
    <w:qFormat/>
    <w:uiPriority w:val="99"/>
    <w:rPr>
      <w:color w:val="0563C1" w:themeColor="hyperlink"/>
      <w:u w:val="single"/>
      <w14:textFill>
        <w14:solidFill>
          <w14:schemeClr w14:val="hlink"/>
        </w14:solidFill>
      </w14:textFill>
    </w:rPr>
  </w:style>
  <w:style w:type="character" w:styleId="31">
    <w:name w:val="annotation reference"/>
    <w:basedOn w:val="28"/>
    <w:semiHidden/>
    <w:unhideWhenUsed/>
    <w:qFormat/>
    <w:uiPriority w:val="99"/>
    <w:rPr>
      <w:sz w:val="21"/>
      <w:szCs w:val="21"/>
    </w:rPr>
  </w:style>
  <w:style w:type="character" w:styleId="32">
    <w:name w:val="footnote reference"/>
    <w:basedOn w:val="28"/>
    <w:qFormat/>
    <w:uiPriority w:val="99"/>
    <w:rPr>
      <w:vertAlign w:val="superscript"/>
    </w:rPr>
  </w:style>
  <w:style w:type="character" w:customStyle="1" w:styleId="33">
    <w:name w:val="标题 1 字符"/>
    <w:basedOn w:val="28"/>
    <w:qFormat/>
    <w:uiPriority w:val="9"/>
    <w:rPr>
      <w:rFonts w:eastAsia="黑体" w:cs="Times New Roman"/>
      <w:bCs/>
      <w:kern w:val="44"/>
      <w:szCs w:val="44"/>
    </w:rPr>
  </w:style>
  <w:style w:type="character" w:customStyle="1" w:styleId="34">
    <w:name w:val="标题 2 字符"/>
    <w:basedOn w:val="28"/>
    <w:link w:val="3"/>
    <w:qFormat/>
    <w:uiPriority w:val="9"/>
    <w:rPr>
      <w:rFonts w:eastAsia="仿宋" w:cs="Cambria"/>
      <w:b/>
      <w:bCs/>
      <w:kern w:val="0"/>
      <w:sz w:val="24"/>
      <w:szCs w:val="24"/>
    </w:rPr>
  </w:style>
  <w:style w:type="character" w:customStyle="1" w:styleId="35">
    <w:name w:val="标题 3 字符"/>
    <w:basedOn w:val="28"/>
    <w:qFormat/>
    <w:uiPriority w:val="9"/>
    <w:rPr>
      <w:rFonts w:eastAsia="仿宋" w:cs="宋体"/>
      <w:b/>
      <w:bCs/>
      <w:kern w:val="0"/>
      <w:szCs w:val="24"/>
    </w:rPr>
  </w:style>
  <w:style w:type="character" w:customStyle="1" w:styleId="36">
    <w:name w:val="标题 4 字符"/>
    <w:basedOn w:val="28"/>
    <w:link w:val="5"/>
    <w:qFormat/>
    <w:uiPriority w:val="0"/>
    <w:rPr>
      <w:rFonts w:eastAsia="仿宋" w:cs="Cambria"/>
      <w:b/>
      <w:bCs/>
      <w:kern w:val="0"/>
      <w:szCs w:val="28"/>
    </w:rPr>
  </w:style>
  <w:style w:type="character" w:customStyle="1" w:styleId="37">
    <w:name w:val="标题 5 字符"/>
    <w:basedOn w:val="28"/>
    <w:link w:val="6"/>
    <w:qFormat/>
    <w:uiPriority w:val="0"/>
    <w:rPr>
      <w:rFonts w:ascii="Calibri" w:hAnsi="Calibri" w:cs="Times New Roman"/>
      <w:b/>
      <w:bCs/>
      <w:kern w:val="0"/>
      <w:sz w:val="28"/>
      <w:szCs w:val="28"/>
    </w:rPr>
  </w:style>
  <w:style w:type="character" w:customStyle="1" w:styleId="38">
    <w:name w:val="标题 6 字符"/>
    <w:basedOn w:val="28"/>
    <w:link w:val="7"/>
    <w:qFormat/>
    <w:uiPriority w:val="0"/>
    <w:rPr>
      <w:rFonts w:ascii="Cambria" w:hAnsi="Cambria" w:cs="Cambria"/>
      <w:b/>
      <w:bCs/>
      <w:kern w:val="0"/>
      <w:szCs w:val="24"/>
    </w:rPr>
  </w:style>
  <w:style w:type="character" w:customStyle="1" w:styleId="39">
    <w:name w:val="标题 7 字符"/>
    <w:basedOn w:val="28"/>
    <w:link w:val="8"/>
    <w:qFormat/>
    <w:uiPriority w:val="0"/>
    <w:rPr>
      <w:rFonts w:ascii="Calibri" w:hAnsi="Calibri" w:cs="Times New Roman"/>
      <w:b/>
      <w:bCs/>
      <w:kern w:val="0"/>
      <w:szCs w:val="24"/>
    </w:rPr>
  </w:style>
  <w:style w:type="character" w:customStyle="1" w:styleId="40">
    <w:name w:val="标题 8 字符"/>
    <w:basedOn w:val="28"/>
    <w:link w:val="9"/>
    <w:qFormat/>
    <w:uiPriority w:val="0"/>
    <w:rPr>
      <w:rFonts w:ascii="Cambria" w:hAnsi="Cambria" w:cs="Cambria"/>
      <w:kern w:val="0"/>
      <w:szCs w:val="24"/>
    </w:rPr>
  </w:style>
  <w:style w:type="character" w:customStyle="1" w:styleId="41">
    <w:name w:val="标题 9 字符"/>
    <w:basedOn w:val="28"/>
    <w:link w:val="10"/>
    <w:qFormat/>
    <w:uiPriority w:val="0"/>
    <w:rPr>
      <w:rFonts w:ascii="Cambria" w:hAnsi="Cambria" w:cs="Cambria"/>
      <w:kern w:val="0"/>
      <w:sz w:val="20"/>
      <w:szCs w:val="20"/>
    </w:rPr>
  </w:style>
  <w:style w:type="character" w:customStyle="1" w:styleId="42">
    <w:name w:val="页眉 字符"/>
    <w:basedOn w:val="28"/>
    <w:link w:val="17"/>
    <w:qFormat/>
    <w:uiPriority w:val="99"/>
    <w:rPr>
      <w:sz w:val="18"/>
      <w:szCs w:val="18"/>
    </w:rPr>
  </w:style>
  <w:style w:type="character" w:customStyle="1" w:styleId="43">
    <w:name w:val="页脚 字符"/>
    <w:basedOn w:val="28"/>
    <w:link w:val="16"/>
    <w:qFormat/>
    <w:uiPriority w:val="99"/>
    <w:rPr>
      <w:sz w:val="18"/>
      <w:szCs w:val="18"/>
    </w:rPr>
  </w:style>
  <w:style w:type="character" w:customStyle="1" w:styleId="44">
    <w:name w:val="脚注文本 字符1"/>
    <w:link w:val="21"/>
    <w:qFormat/>
    <w:uiPriority w:val="0"/>
    <w:rPr>
      <w:rFonts w:cs="Times New Roman"/>
      <w:sz w:val="18"/>
      <w:szCs w:val="18"/>
    </w:rPr>
  </w:style>
  <w:style w:type="character" w:customStyle="1" w:styleId="45">
    <w:name w:val="脚注文本 字符"/>
    <w:basedOn w:val="28"/>
    <w:semiHidden/>
    <w:qFormat/>
    <w:uiPriority w:val="99"/>
    <w:rPr>
      <w:rFonts w:asciiTheme="minorHAnsi" w:hAnsiTheme="minorHAnsi" w:eastAsiaTheme="minorEastAsia"/>
      <w:sz w:val="18"/>
      <w:szCs w:val="18"/>
    </w:rPr>
  </w:style>
  <w:style w:type="paragraph" w:styleId="46">
    <w:name w:val="List Paragraph"/>
    <w:basedOn w:val="1"/>
    <w:qFormat/>
    <w:uiPriority w:val="34"/>
    <w:pPr>
      <w:spacing w:line="380" w:lineRule="exact"/>
      <w:ind w:firstLine="420" w:firstLineChars="200"/>
    </w:pPr>
    <w:rPr>
      <w:rFonts w:ascii="Calibri" w:hAnsi="Calibri" w:eastAsia="宋体" w:cs="Times New Roman"/>
      <w:kern w:val="0"/>
      <w:sz w:val="20"/>
      <w:szCs w:val="20"/>
    </w:rPr>
  </w:style>
  <w:style w:type="table" w:customStyle="1" w:styleId="47">
    <w:name w:val="网格表 1 浅色 - 着色 51"/>
    <w:basedOn w:val="25"/>
    <w:qFormat/>
    <w:uiPriority w:val="46"/>
    <w:rPr>
      <w:rFonts w:asciiTheme="minorHAnsi" w:hAnsiTheme="minorHAnsi" w:eastAsiaTheme="minorEastAsia"/>
      <w:sz w:val="21"/>
    </w:rPr>
    <w:tblPr>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2" w:space="0"/>
        </w:tcBorders>
      </w:tcPr>
    </w:tblStylePr>
    <w:tblStylePr w:type="firstCol">
      <w:rPr>
        <w:b/>
        <w:bCs/>
      </w:rPr>
    </w:tblStylePr>
    <w:tblStylePr w:type="lastCol">
      <w:rPr>
        <w:b/>
        <w:bCs/>
      </w:rPr>
    </w:tblStylePr>
  </w:style>
  <w:style w:type="character" w:customStyle="1" w:styleId="48">
    <w:name w:val="批注文字 字符"/>
    <w:basedOn w:val="28"/>
    <w:link w:val="12"/>
    <w:qFormat/>
    <w:uiPriority w:val="99"/>
    <w:rPr>
      <w:rFonts w:asciiTheme="minorHAnsi" w:hAnsiTheme="minorHAnsi" w:eastAsiaTheme="minorEastAsia"/>
      <w:sz w:val="21"/>
    </w:rPr>
  </w:style>
  <w:style w:type="character" w:customStyle="1" w:styleId="49">
    <w:name w:val="批注框文本 字符"/>
    <w:basedOn w:val="28"/>
    <w:link w:val="15"/>
    <w:semiHidden/>
    <w:qFormat/>
    <w:uiPriority w:val="99"/>
    <w:rPr>
      <w:rFonts w:eastAsia="仿宋"/>
      <w:sz w:val="18"/>
      <w:szCs w:val="18"/>
    </w:rPr>
  </w:style>
  <w:style w:type="character" w:customStyle="1" w:styleId="50">
    <w:name w:val="批注主题 字符"/>
    <w:basedOn w:val="48"/>
    <w:link w:val="24"/>
    <w:semiHidden/>
    <w:qFormat/>
    <w:uiPriority w:val="99"/>
    <w:rPr>
      <w:rFonts w:eastAsia="仿宋" w:asciiTheme="minorHAnsi" w:hAnsiTheme="minorHAnsi"/>
      <w:b/>
      <w:bCs/>
      <w:sz w:val="21"/>
    </w:rPr>
  </w:style>
  <w:style w:type="paragraph" w:customStyle="1" w:styleId="51">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bCs w:val="0"/>
      <w:color w:val="2E75B6" w:themeColor="accent1" w:themeShade="BF"/>
      <w:kern w:val="0"/>
      <w:sz w:val="32"/>
      <w:szCs w:val="32"/>
    </w:rPr>
  </w:style>
  <w:style w:type="paragraph" w:customStyle="1" w:styleId="52">
    <w:name w:val="修订1"/>
    <w:hidden/>
    <w:semiHidden/>
    <w:qFormat/>
    <w:uiPriority w:val="99"/>
    <w:rPr>
      <w:rFonts w:ascii="Times New Roman" w:hAnsi="Times New Roman" w:eastAsia="仿宋" w:cstheme="minorBidi"/>
      <w:kern w:val="2"/>
      <w:sz w:val="24"/>
      <w:szCs w:val="22"/>
      <w:lang w:val="en-US" w:eastAsia="zh-CN" w:bidi="ar-SA"/>
    </w:rPr>
  </w:style>
  <w:style w:type="paragraph" w:customStyle="1" w:styleId="53">
    <w:name w:val="EndNote Bibliography Title"/>
    <w:basedOn w:val="1"/>
    <w:link w:val="54"/>
    <w:qFormat/>
    <w:uiPriority w:val="0"/>
    <w:pPr>
      <w:jc w:val="center"/>
    </w:pPr>
    <w:rPr>
      <w:rFonts w:cs="Times New Roman"/>
    </w:rPr>
  </w:style>
  <w:style w:type="character" w:customStyle="1" w:styleId="54">
    <w:name w:val="EndNote Bibliography Title 字符"/>
    <w:basedOn w:val="44"/>
    <w:link w:val="53"/>
    <w:qFormat/>
    <w:uiPriority w:val="0"/>
    <w:rPr>
      <w:rFonts w:eastAsia="仿宋" w:cs="Times New Roman"/>
      <w:sz w:val="18"/>
      <w:szCs w:val="18"/>
    </w:rPr>
  </w:style>
  <w:style w:type="paragraph" w:customStyle="1" w:styleId="55">
    <w:name w:val="EndNote Bibliography"/>
    <w:basedOn w:val="1"/>
    <w:link w:val="56"/>
    <w:qFormat/>
    <w:uiPriority w:val="0"/>
    <w:pPr>
      <w:spacing w:line="240" w:lineRule="auto"/>
    </w:pPr>
    <w:rPr>
      <w:rFonts w:cs="Times New Roman"/>
    </w:rPr>
  </w:style>
  <w:style w:type="character" w:customStyle="1" w:styleId="56">
    <w:name w:val="EndNote Bibliography 字符"/>
    <w:basedOn w:val="44"/>
    <w:link w:val="55"/>
    <w:qFormat/>
    <w:uiPriority w:val="0"/>
    <w:rPr>
      <w:rFonts w:eastAsia="仿宋" w:cs="Times New Roman"/>
      <w:sz w:val="18"/>
      <w:szCs w:val="18"/>
    </w:rPr>
  </w:style>
  <w:style w:type="character" w:customStyle="1" w:styleId="57">
    <w:name w:val="正文文本 字符"/>
    <w:basedOn w:val="28"/>
    <w:link w:val="13"/>
    <w:qFormat/>
    <w:uiPriority w:val="1"/>
    <w:rPr>
      <w:rFonts w:ascii="宋体" w:hAnsi="宋体"/>
      <w:kern w:val="0"/>
      <w:sz w:val="21"/>
      <w:szCs w:val="21"/>
      <w:lang w:eastAsia="en-US"/>
    </w:rPr>
  </w:style>
  <w:style w:type="paragraph" w:customStyle="1" w:styleId="58">
    <w:name w:val="列表段落1"/>
    <w:basedOn w:val="1"/>
    <w:qFormat/>
    <w:uiPriority w:val="34"/>
    <w:pPr>
      <w:spacing w:line="240" w:lineRule="auto"/>
      <w:ind w:firstLine="420" w:firstLineChars="200"/>
    </w:pPr>
    <w:rPr>
      <w:rFonts w:ascii="Calibri" w:hAnsi="Calibri" w:eastAsia="宋体" w:cs="黑体"/>
      <w:sz w:val="21"/>
    </w:rPr>
  </w:style>
  <w:style w:type="paragraph" w:customStyle="1" w:styleId="59">
    <w:name w:val="标准文件_章标题"/>
    <w:next w:val="60"/>
    <w:qFormat/>
    <w:uiPriority w:val="0"/>
    <w:p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60">
    <w:name w:val="标准文件_段"/>
    <w:link w:val="6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61">
    <w:name w:val="标准文件_段 Char"/>
    <w:link w:val="60"/>
    <w:qFormat/>
    <w:uiPriority w:val="0"/>
    <w:rPr>
      <w:rFonts w:ascii="宋体" w:cs="Times New Roman"/>
      <w:kern w:val="0"/>
      <w:sz w:val="21"/>
      <w:szCs w:val="20"/>
    </w:rPr>
  </w:style>
  <w:style w:type="paragraph" w:customStyle="1" w:styleId="62">
    <w:name w:val="标准文件_一级条标题"/>
    <w:basedOn w:val="59"/>
    <w:next w:val="60"/>
    <w:qFormat/>
    <w:uiPriority w:val="0"/>
    <w:pPr>
      <w:spacing w:before="50" w:beforeLines="50" w:after="50" w:afterLines="50"/>
      <w:outlineLvl w:val="1"/>
    </w:pPr>
  </w:style>
  <w:style w:type="paragraph" w:customStyle="1" w:styleId="63">
    <w:name w:val="标准文件_正文表标题"/>
    <w:next w:val="60"/>
    <w:qFormat/>
    <w:uiPriority w:val="0"/>
    <w:p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64">
    <w:name w:val="标准文件_表格"/>
    <w:basedOn w:val="60"/>
    <w:qFormat/>
    <w:uiPriority w:val="0"/>
    <w:pPr>
      <w:ind w:firstLine="0" w:firstLineChars="0"/>
      <w:jc w:val="center"/>
    </w:pPr>
    <w:rPr>
      <w:sz w:val="18"/>
    </w:rPr>
  </w:style>
  <w:style w:type="paragraph" w:customStyle="1" w:styleId="65">
    <w:name w:val="标准文件_附录标识"/>
    <w:next w:val="60"/>
    <w:qFormat/>
    <w:uiPriority w:val="0"/>
    <w:p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table" w:customStyle="1" w:styleId="66">
    <w:name w:val="Table Normal"/>
    <w:semiHidden/>
    <w:unhideWhenUsed/>
    <w:qFormat/>
    <w:uiPriority w:val="2"/>
    <w:pPr>
      <w:widowControl w:val="0"/>
    </w:pPr>
    <w:rPr>
      <w:rFonts w:asciiTheme="minorHAnsi" w:hAnsiTheme="minorHAnsi" w:eastAsiaTheme="minorEastAsia"/>
      <w:sz w:val="22"/>
      <w:lang w:eastAsia="en-US"/>
    </w:rPr>
    <w:tblPr>
      <w:tblCellMar>
        <w:top w:w="0" w:type="dxa"/>
        <w:left w:w="0" w:type="dxa"/>
        <w:bottom w:w="0" w:type="dxa"/>
        <w:right w:w="0" w:type="dxa"/>
      </w:tblCellMar>
    </w:tblPr>
  </w:style>
  <w:style w:type="paragraph" w:customStyle="1" w:styleId="67">
    <w:name w:val="Table Paragraph"/>
    <w:basedOn w:val="1"/>
    <w:qFormat/>
    <w:uiPriority w:val="1"/>
    <w:pPr>
      <w:spacing w:line="240" w:lineRule="auto"/>
      <w:jc w:val="left"/>
    </w:pPr>
    <w:rPr>
      <w:rFonts w:asciiTheme="minorHAnsi" w:hAnsiTheme="minorHAnsi" w:eastAsiaTheme="minorEastAsia"/>
      <w:kern w:val="0"/>
      <w:sz w:val="22"/>
      <w:lang w:eastAsia="en-US"/>
    </w:rPr>
  </w:style>
  <w:style w:type="table" w:customStyle="1" w:styleId="68">
    <w:name w:val="无格式表格 31"/>
    <w:basedOn w:val="25"/>
    <w:qFormat/>
    <w:uiPriority w:val="43"/>
    <w:rPr>
      <w:iCs/>
      <w:color w:val="000000"/>
      <w:szCs w:val="36"/>
    </w:rPr>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character" w:styleId="69">
    <w:name w:val="Placeholder Text"/>
    <w:basedOn w:val="28"/>
    <w:semiHidden/>
    <w:qFormat/>
    <w:uiPriority w:val="99"/>
    <w:rPr>
      <w:color w:val="808080"/>
    </w:rPr>
  </w:style>
  <w:style w:type="paragraph" w:customStyle="1" w:styleId="70">
    <w:name w:val="TOC 标题1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Cs w:val="0"/>
      <w:color w:val="2E75B6" w:themeColor="accent1" w:themeShade="BF"/>
      <w:kern w:val="0"/>
      <w:sz w:val="32"/>
      <w:szCs w:val="32"/>
    </w:rPr>
  </w:style>
  <w:style w:type="table" w:customStyle="1" w:styleId="71">
    <w:name w:val="网格型1"/>
    <w:basedOn w:val="2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
    <w:name w:val="网格型3"/>
    <w:basedOn w:val="2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
    <w:name w:val="网格型76"/>
    <w:basedOn w:val="2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74">
    <w:name w:val="清单表 6 彩色 - 着色 11"/>
    <w:basedOn w:val="25"/>
    <w:qFormat/>
    <w:uiPriority w:val="51"/>
    <w:rPr>
      <w:color w:val="2E75B6" w:themeColor="accent1" w:themeShade="BF"/>
    </w:rPr>
    <w:tblPr>
      <w:tblBorders>
        <w:top w:val="single" w:color="5B9BD5" w:themeColor="accent1" w:sz="4" w:space="0"/>
        <w:bottom w:val="single" w:color="5B9BD5" w:themeColor="accent1" w:sz="4" w:space="0"/>
      </w:tblBorders>
    </w:tblPr>
    <w:tblStylePr w:type="firstRow">
      <w:rPr>
        <w:b/>
        <w:bCs/>
      </w:rPr>
      <w:tcPr>
        <w:tcBorders>
          <w:bottom w:val="single" w:color="5B9BD5" w:themeColor="accent1" w:sz="4" w:space="0"/>
        </w:tcBorders>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75">
    <w:name w:val="网格型7611"/>
    <w:basedOn w:val="2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6">
    <w:name w:val="No Spacing"/>
    <w:basedOn w:val="20"/>
    <w:autoRedefine/>
    <w:qFormat/>
    <w:uiPriority w:val="1"/>
    <w:pPr>
      <w:adjustRightInd w:val="0"/>
      <w:snapToGrid w:val="0"/>
      <w:ind w:left="0" w:firstLine="0" w:firstLineChars="0"/>
      <w:jc w:val="center"/>
    </w:pPr>
    <w:rPr>
      <w:rFonts w:cs="Times New Roman"/>
      <w:szCs w:val="24"/>
    </w:rPr>
  </w:style>
  <w:style w:type="table" w:customStyle="1" w:styleId="77">
    <w:name w:val="网格型7612"/>
    <w:basedOn w:val="2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8">
    <w:name w:val="ds-markdown-paragraph"/>
    <w:basedOn w:val="1"/>
    <w:qFormat/>
    <w:uiPriority w:val="0"/>
    <w:pPr>
      <w:widowControl/>
      <w:spacing w:beforeAutospacing="1" w:afterAutospacing="1"/>
      <w:jc w:val="left"/>
    </w:pPr>
    <w:rPr>
      <w:rFonts w:hint="eastAsia" w:ascii="宋体" w:hAnsi="宋体" w:eastAsia="宋体" w:cs="Times New Roman"/>
      <w:kern w:val="0"/>
      <w:szCs w:val="24"/>
    </w:rPr>
  </w:style>
  <w:style w:type="character" w:customStyle="1" w:styleId="79">
    <w:name w:val="标题 1 字符1"/>
    <w:basedOn w:val="28"/>
    <w:link w:val="2"/>
    <w:qFormat/>
    <w:uiPriority w:val="0"/>
    <w:rPr>
      <w:rFonts w:hint="eastAsia" w:ascii="宋体" w:hAnsi="宋体" w:eastAsia="宋体" w:cs="宋体"/>
      <w:b/>
      <w:bCs/>
      <w:kern w:val="44"/>
      <w:sz w:val="48"/>
      <w:szCs w:val="48"/>
    </w:rPr>
  </w:style>
  <w:style w:type="character" w:customStyle="1" w:styleId="80">
    <w:name w:val="标题 3 字符1"/>
    <w:basedOn w:val="28"/>
    <w:link w:val="4"/>
    <w:qFormat/>
    <w:uiPriority w:val="0"/>
    <w:rPr>
      <w:rFonts w:hint="eastAsia" w:ascii="宋体" w:hAnsi="宋体" w:eastAsia="仿宋" w:cs="宋体"/>
      <w:b/>
      <w:bCs/>
      <w:sz w:val="27"/>
      <w:szCs w:val="27"/>
    </w:rPr>
  </w:style>
  <w:style w:type="paragraph" w:customStyle="1" w:styleId="81">
    <w:name w:val="修订2"/>
    <w:hidden/>
    <w:semiHidden/>
    <w:qFormat/>
    <w:uiPriority w:val="99"/>
    <w:rPr>
      <w:rFonts w:ascii="Times New Roman" w:hAnsi="Times New Roman" w:eastAsia="仿宋" w:cstheme="minorBidi"/>
      <w:kern w:val="2"/>
      <w:sz w:val="24"/>
      <w:szCs w:val="22"/>
      <w:lang w:val="en-US" w:eastAsia="zh-CN" w:bidi="ar-SA"/>
    </w:rPr>
  </w:style>
  <w:style w:type="paragraph" w:customStyle="1" w:styleId="82">
    <w:name w:val="标准文件_三级无标题"/>
    <w:basedOn w:val="83"/>
    <w:qFormat/>
    <w:uiPriority w:val="0"/>
    <w:pPr>
      <w:spacing w:before="0" w:beforeLines="0" w:after="0" w:afterLines="0"/>
      <w:outlineLvl w:val="9"/>
    </w:pPr>
    <w:rPr>
      <w:rFonts w:ascii="宋体" w:eastAsia="宋体"/>
    </w:rPr>
  </w:style>
  <w:style w:type="paragraph" w:customStyle="1" w:styleId="83">
    <w:name w:val="标准文件_三级条标题"/>
    <w:basedOn w:val="84"/>
    <w:next w:val="60"/>
    <w:qFormat/>
    <w:uiPriority w:val="0"/>
    <w:pPr>
      <w:widowControl/>
      <w:numPr>
        <w:ilvl w:val="4"/>
      </w:numPr>
      <w:outlineLvl w:val="3"/>
    </w:pPr>
  </w:style>
  <w:style w:type="paragraph" w:customStyle="1" w:styleId="84">
    <w:name w:val="标准文件_二级条标题"/>
    <w:next w:val="60"/>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85">
    <w:name w:val="标准文件_一级项"/>
    <w:qFormat/>
    <w:uiPriority w:val="0"/>
    <w:pPr>
      <w:numPr>
        <w:ilvl w:val="0"/>
        <w:numId w:val="3"/>
      </w:numPr>
    </w:pPr>
    <w:rPr>
      <w:rFonts w:ascii="宋体" w:hAnsi="Times New Roman" w:eastAsia="宋体" w:cs="Times New Roman"/>
      <w:sz w:val="21"/>
      <w:lang w:val="en-US" w:eastAsia="zh-CN" w:bidi="ar-SA"/>
    </w:rPr>
  </w:style>
  <w:style w:type="paragraph" w:customStyle="1" w:styleId="86">
    <w:name w:val="标准文件_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87">
    <w:name w:val="标准文件_术语条一"/>
    <w:basedOn w:val="88"/>
    <w:next w:val="60"/>
    <w:qFormat/>
    <w:uiPriority w:val="0"/>
  </w:style>
  <w:style w:type="paragraph" w:customStyle="1" w:styleId="88">
    <w:name w:val="标准文件_一级无标题"/>
    <w:basedOn w:val="62"/>
    <w:qFormat/>
    <w:uiPriority w:val="0"/>
    <w:pPr>
      <w:spacing w:before="0" w:beforeLines="0" w:after="0" w:afterLines="0"/>
      <w:outlineLvl w:val="9"/>
    </w:pPr>
    <w:rPr>
      <w:rFonts w:ascii="宋体" w:eastAsia="宋体"/>
    </w:rPr>
  </w:style>
  <w:style w:type="paragraph" w:customStyle="1" w:styleId="89">
    <w:name w:val="TOC Heading"/>
    <w:basedOn w:val="2"/>
    <w:next w:val="1"/>
    <w:unhideWhenUsed/>
    <w:qFormat/>
    <w:uiPriority w:val="39"/>
    <w:pPr>
      <w:widowControl/>
      <w:spacing w:before="240" w:line="259" w:lineRule="auto"/>
      <w:jc w:val="left"/>
      <w:outlineLvl w:val="9"/>
    </w:pPr>
    <w:rPr>
      <w:rFonts w:asciiTheme="majorHAnsi" w:hAnsiTheme="majorHAnsi" w:eastAsiaTheme="majorEastAsia" w:cstheme="majorBidi"/>
      <w:bCs w:val="0"/>
      <w:color w:val="2E75B6"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4.xml"/><Relationship Id="rId22" Type="http://schemas.openxmlformats.org/officeDocument/2006/relationships/customXml" Target="../customXml/item3.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jpeg"/><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FC09C-3AA0-42B1-A8B7-891A05CD9E44}">
  <ds:schemaRefs/>
</ds:datastoreItem>
</file>

<file path=customXml/itemProps3.xml><?xml version="1.0" encoding="utf-8"?>
<ds:datastoreItem xmlns:ds="http://schemas.openxmlformats.org/officeDocument/2006/customXml" ds:itemID="{BCD560E6-92A2-4085-B5EC-80CBDD7DD82B}">
  <ds:schemaRefs/>
</ds:datastoreItem>
</file>

<file path=customXml/itemProps4.xml><?xml version="1.0" encoding="utf-8"?>
<ds:datastoreItem xmlns:ds="http://schemas.openxmlformats.org/officeDocument/2006/customXml" ds:itemID="{AFB09E01-D79D-461F-B0D2-1A9DDDC4055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15305</Words>
  <Characters>17643</Characters>
  <Lines>277</Lines>
  <Paragraphs>78</Paragraphs>
  <TotalTime>0</TotalTime>
  <ScaleCrop>false</ScaleCrop>
  <LinksUpToDate>false</LinksUpToDate>
  <CharactersWithSpaces>17892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2025-07-08T14:56:00Z</dcterms:created>
  <dc:creator>李莉</dc:creator>
  <cp:lastModifiedBy>zhangsir</cp:lastModifiedBy>
  <cp:lastPrinted>2025-02-25T07:37:00Z</cp:lastPrinted>
  <dcterms:modified xsi:type="dcterms:W3CDTF">2026-04-08T01:37:02Z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04361B0FF70F4113B6810A5ADAD6B471_13</vt:lpwstr>
  </property>
  <property fmtid="{D5CDD505-2E9C-101B-9397-08002B2CF9AE}" pid="4" name="KSOTemplateDocerSaveRecord">
    <vt:lpwstr>eyJoZGlkIjoiMjFhYjg0NTMzNmMxNzk5NzQ2Nzg2NjkzNDM4OTMzMTQiLCJ1c2VySWQiOiIzMjkzNTA1OTEifQ==</vt:lpwstr>
  </property>
</Properties>
</file>